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1A4" w14:textId="77777777" w:rsidR="003747E4" w:rsidRPr="00B63D46" w:rsidRDefault="003747E4" w:rsidP="000F0332">
      <w:pPr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1038178D" w14:textId="353964B7" w:rsidR="00E57286" w:rsidRDefault="00147B5E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 xml:space="preserve"> </w:t>
      </w:r>
    </w:p>
    <w:p w14:paraId="75D99C7D" w14:textId="77777777" w:rsidR="00107EF2" w:rsidRPr="00B63D46" w:rsidRDefault="00107EF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DEE98E" w14:textId="7183A2BC" w:rsidR="00EE6689" w:rsidRPr="00107EF2" w:rsidRDefault="00D75315" w:rsidP="008D70B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07EF2">
        <w:rPr>
          <w:rFonts w:ascii="Arial" w:hAnsi="Arial" w:cs="Arial"/>
          <w:b/>
          <w:sz w:val="40"/>
          <w:szCs w:val="40"/>
        </w:rPr>
        <w:t>INFORMACJA O REALIZOWANEJ STRATEGII PODATKOWEJ</w:t>
      </w:r>
    </w:p>
    <w:p w14:paraId="164060DD" w14:textId="31E2B022" w:rsidR="00E57286" w:rsidRPr="00B63D46" w:rsidRDefault="001E642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SPORZĄDZONA</w:t>
      </w:r>
      <w:r w:rsidR="0038629B" w:rsidRPr="00B63D46">
        <w:rPr>
          <w:rFonts w:ascii="Arial" w:hAnsi="Arial" w:cs="Arial"/>
          <w:b/>
          <w:sz w:val="20"/>
          <w:szCs w:val="20"/>
        </w:rPr>
        <w:t xml:space="preserve"> NA PODSTAWIE ART. </w:t>
      </w:r>
      <w:r w:rsidR="00D75315">
        <w:rPr>
          <w:rFonts w:ascii="Arial" w:hAnsi="Arial" w:cs="Arial"/>
          <w:b/>
          <w:sz w:val="20"/>
          <w:szCs w:val="20"/>
        </w:rPr>
        <w:t>27C</w:t>
      </w:r>
    </w:p>
    <w:p w14:paraId="3ED0C278" w14:textId="7DF5F1FB" w:rsidR="00E57286" w:rsidRDefault="00E57286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3D46">
        <w:rPr>
          <w:rFonts w:ascii="Arial" w:hAnsi="Arial" w:cs="Arial"/>
          <w:b/>
          <w:sz w:val="20"/>
          <w:szCs w:val="20"/>
        </w:rPr>
        <w:t>USTAWY O PODATKU DOCHODOWYM OD OSÓB PRAWNYCH</w:t>
      </w:r>
    </w:p>
    <w:p w14:paraId="1894E4A9" w14:textId="5F56D2AA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DCAF82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0EE3D1" w14:textId="3513ADFE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2B410A0" wp14:editId="2CAAF206">
            <wp:extent cx="3368040" cy="1173480"/>
            <wp:effectExtent l="0" t="0" r="381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D530" w14:textId="171BE6BF" w:rsidR="00D82702" w:rsidRDefault="00D8270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FCDCC" w14:textId="77777777" w:rsidR="00B73052" w:rsidRDefault="00B7305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559339" w14:textId="77777777" w:rsidR="00FC4361" w:rsidRDefault="00FC4361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57E736" w14:textId="77777777" w:rsidR="00802C44" w:rsidRDefault="00802C44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88748EF" w14:textId="58963ABA" w:rsidR="0012659E" w:rsidRPr="008D70B7" w:rsidRDefault="0012659E" w:rsidP="001C5E9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D70B7">
        <w:rPr>
          <w:rFonts w:ascii="Arial" w:hAnsi="Arial" w:cs="Arial"/>
          <w:bCs/>
          <w:sz w:val="20"/>
          <w:szCs w:val="20"/>
        </w:rPr>
        <w:t>PODMIOT SPORZĄDZAJĄCY:</w:t>
      </w:r>
    </w:p>
    <w:p w14:paraId="4A4FF466" w14:textId="26A80DD7" w:rsidR="00681D7B" w:rsidRDefault="00CA7E72" w:rsidP="001C5E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 </w:t>
      </w:r>
      <w:r w:rsidRPr="00CA7E72">
        <w:rPr>
          <w:rFonts w:ascii="Arial" w:hAnsi="Arial" w:cs="Arial"/>
          <w:b/>
          <w:sz w:val="20"/>
          <w:szCs w:val="20"/>
        </w:rPr>
        <w:t xml:space="preserve">AIRCRAFT MAINTENANCE SERVICES </w:t>
      </w:r>
      <w:r>
        <w:rPr>
          <w:rFonts w:ascii="Arial" w:hAnsi="Arial" w:cs="Arial"/>
          <w:b/>
          <w:sz w:val="20"/>
          <w:szCs w:val="20"/>
        </w:rPr>
        <w:br/>
      </w:r>
      <w:r w:rsidRPr="00CA7E72">
        <w:rPr>
          <w:rFonts w:ascii="Arial" w:hAnsi="Arial" w:cs="Arial"/>
          <w:b/>
          <w:sz w:val="20"/>
          <w:szCs w:val="20"/>
        </w:rPr>
        <w:t>SPÓŁKA Z OGRANICZONĄ ODPOWIEDZIALNOŚCIĄ</w:t>
      </w:r>
    </w:p>
    <w:p w14:paraId="341EC344" w14:textId="1B35D82E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B31355" w14:textId="77777777" w:rsidR="009302ED" w:rsidRDefault="009302ED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59C1916" w14:textId="77777777" w:rsidR="005718F0" w:rsidRDefault="005718F0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F71ADB6" w14:textId="77777777" w:rsidR="00107EF2" w:rsidRDefault="00107EF2" w:rsidP="001C5E9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AA9CE02" w14:textId="3D76ECFC" w:rsidR="00E85632" w:rsidRDefault="008D70B7" w:rsidP="009F03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</w:t>
      </w:r>
      <w:r w:rsidR="00E57286" w:rsidRPr="00B63D46">
        <w:rPr>
          <w:rFonts w:ascii="Arial" w:hAnsi="Arial" w:cs="Arial"/>
          <w:sz w:val="20"/>
          <w:szCs w:val="20"/>
        </w:rPr>
        <w:t xml:space="preserve"> za rok podatkowy </w:t>
      </w:r>
      <w:r w:rsidR="00C85E85" w:rsidRPr="00B63D46">
        <w:rPr>
          <w:rFonts w:ascii="Arial" w:hAnsi="Arial" w:cs="Arial"/>
          <w:sz w:val="20"/>
          <w:szCs w:val="20"/>
        </w:rPr>
        <w:t xml:space="preserve">kończący się 31 grudnia </w:t>
      </w:r>
      <w:r w:rsidR="00801FA3">
        <w:rPr>
          <w:rFonts w:ascii="Arial" w:hAnsi="Arial" w:cs="Arial"/>
          <w:sz w:val="20"/>
          <w:szCs w:val="20"/>
        </w:rPr>
        <w:t xml:space="preserve">2022 </w:t>
      </w:r>
      <w:r w:rsidR="00BE161C" w:rsidRPr="00B63D46">
        <w:rPr>
          <w:rFonts w:ascii="Arial" w:hAnsi="Arial" w:cs="Arial"/>
          <w:sz w:val="20"/>
          <w:szCs w:val="20"/>
        </w:rPr>
        <w:t xml:space="preserve"> r.</w:t>
      </w:r>
    </w:p>
    <w:bookmarkStart w:id="0" w:name="_Toc481769573" w:displacedByCustomXml="next"/>
    <w:sdt>
      <w:sdtPr>
        <w:rPr>
          <w:rFonts w:ascii="Arial" w:hAnsi="Arial" w:cs="Arial"/>
          <w:b w:val="0"/>
          <w:smallCaps w:val="0"/>
          <w:sz w:val="20"/>
          <w:szCs w:val="20"/>
          <w:lang w:eastAsia="en-US"/>
        </w:rPr>
        <w:id w:val="-1707856700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14:paraId="52245B47" w14:textId="77777777" w:rsidR="00C85E85" w:rsidRPr="00860F3B" w:rsidRDefault="00C85E85" w:rsidP="00860F3B">
          <w:pPr>
            <w:pStyle w:val="Spistreci2"/>
            <w:rPr>
              <w:rFonts w:ascii="Arial" w:hAnsi="Arial" w:cs="Arial"/>
              <w:b w:val="0"/>
              <w:sz w:val="20"/>
              <w:szCs w:val="20"/>
            </w:rPr>
          </w:pPr>
          <w:r w:rsidRPr="00860F3B">
            <w:rPr>
              <w:rFonts w:ascii="Arial" w:hAnsi="Arial" w:cs="Arial"/>
              <w:b w:val="0"/>
              <w:sz w:val="20"/>
              <w:szCs w:val="20"/>
            </w:rPr>
            <w:t>Spis treści</w:t>
          </w:r>
        </w:p>
        <w:p w14:paraId="10B9CF01" w14:textId="1A002244" w:rsidR="00860F3B" w:rsidRPr="00860F3B" w:rsidRDefault="00C85E85" w:rsidP="00860F3B">
          <w:pPr>
            <w:pStyle w:val="Spistreci2"/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begin"/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instrText xml:space="preserve"> TOC \o "1-4" \h \z \u </w:instrText>
          </w:r>
          <w:r w:rsidRPr="00860F3B">
            <w:rPr>
              <w:rFonts w:ascii="Arial" w:eastAsia="Times New Roman" w:hAnsi="Arial" w:cs="Arial"/>
              <w:b w:val="0"/>
              <w:sz w:val="20"/>
              <w:szCs w:val="20"/>
            </w:rPr>
            <w:fldChar w:fldCharType="separate"/>
          </w:r>
          <w:hyperlink w:anchor="_Toc70604519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1. Informacje ogólne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_Toc70604519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471621" w14:textId="73351176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0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Cel sporządzenia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_Toc70604520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28D5BE" w14:textId="7EC52A0B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1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1.2.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Podstawa prawna informacji o realizacji strategii podatkowej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_Toc70604521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9CA720" w14:textId="7B01B553" w:rsidR="00860F3B" w:rsidRPr="00860F3B" w:rsidRDefault="00A178C2" w:rsidP="00860F3B">
          <w:pPr>
            <w:pStyle w:val="Spistreci2"/>
            <w:tabs>
              <w:tab w:val="left" w:pos="851"/>
            </w:tabs>
            <w:rPr>
              <w:rFonts w:ascii="Arial" w:eastAsiaTheme="minorEastAsia" w:hAnsi="Arial" w:cs="Arial"/>
              <w:b w:val="0"/>
              <w:smallCaps w:val="0"/>
              <w:noProof/>
              <w:sz w:val="20"/>
              <w:szCs w:val="20"/>
            </w:rPr>
          </w:pPr>
          <w:hyperlink w:anchor="_Toc70604522" w:history="1"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2.</w:t>
            </w:r>
            <w:r w:rsidR="00860F3B" w:rsidRPr="00860F3B">
              <w:rPr>
                <w:rFonts w:ascii="Arial" w:eastAsiaTheme="minorEastAsia" w:hAnsi="Arial" w:cs="Arial"/>
                <w:b w:val="0"/>
                <w:smallCaps w:val="0"/>
                <w:noProof/>
                <w:sz w:val="20"/>
                <w:szCs w:val="20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b w:val="0"/>
                <w:noProof/>
                <w:sz w:val="20"/>
                <w:szCs w:val="20"/>
              </w:rPr>
              <w:t>Elementy informacji o realizacji strategii podatkowej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instrText xml:space="preserve"> PAGEREF _Toc70604522 \h </w:instrTex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C44CF1" w14:textId="60F87678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3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2.1.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Procesy i procedury podatkowe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_Toc70604523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C89CFC" w14:textId="0C6C5FB0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4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2.2.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Dobrowolne formy współpracy z organami Krajowej Administracji Skarbowej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_Toc70604524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3B2486" w14:textId="6B65BF56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5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2.3.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Realizacja obowiązków podatkowych, w tym informacje o schematach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_Toc70604525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F4EC45" w14:textId="1B8C3561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6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2.4.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Transakcje zawierane z podmiotami powiązanymi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_Toc70604526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18C065" w14:textId="2DC9D32A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7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2.5.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Planowane lub podejmowane działania restrukturyzacyjne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_Toc70604527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99DEC7" w14:textId="0EEA1D6E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8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2.6.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Katalog złożonych wniosków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_Toc70604528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0423FA" w14:textId="000E3B60" w:rsidR="00860F3B" w:rsidRPr="00860F3B" w:rsidRDefault="00A178C2" w:rsidP="00860F3B">
          <w:pPr>
            <w:pStyle w:val="Spistreci3"/>
            <w:spacing w:line="360" w:lineRule="auto"/>
            <w:rPr>
              <w:rFonts w:ascii="Arial" w:eastAsiaTheme="minorEastAsia" w:hAnsi="Arial" w:cs="Arial"/>
              <w:noProof/>
              <w:sz w:val="20"/>
              <w:szCs w:val="20"/>
              <w:lang w:eastAsia="pl-PL"/>
            </w:rPr>
          </w:pPr>
          <w:hyperlink w:anchor="_Toc70604529" w:history="1"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2.7.</w:t>
            </w:r>
            <w:r w:rsidR="00860F3B" w:rsidRPr="00860F3B">
              <w:rPr>
                <w:rFonts w:ascii="Arial" w:eastAsiaTheme="minorEastAsia" w:hAnsi="Arial" w:cs="Arial"/>
                <w:noProof/>
                <w:sz w:val="20"/>
                <w:szCs w:val="20"/>
                <w:lang w:eastAsia="pl-PL"/>
              </w:rPr>
              <w:tab/>
            </w:r>
            <w:r w:rsidR="00860F3B" w:rsidRPr="00860F3B">
              <w:rPr>
                <w:rStyle w:val="Hipercze"/>
                <w:rFonts w:ascii="Arial" w:hAnsi="Arial" w:cs="Arial"/>
                <w:smallCaps/>
                <w:noProof/>
                <w:sz w:val="20"/>
                <w:szCs w:val="20"/>
              </w:rPr>
              <w:t>Rozliczenia podatkowe w rajach podatkowych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_Toc70604529 \h </w:instrTex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96A5A">
              <w:rPr>
                <w:rFonts w:ascii="Arial" w:hAnsi="Arial" w:cs="Arial"/>
                <w:noProof/>
                <w:webHidden/>
                <w:sz w:val="20"/>
                <w:szCs w:val="20"/>
              </w:rPr>
              <w:t>10</w:t>
            </w:r>
            <w:r w:rsidR="00860F3B" w:rsidRPr="00860F3B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890A66" w14:textId="7BE503B0" w:rsidR="00C85E85" w:rsidRPr="00B940FE" w:rsidRDefault="00C85E85" w:rsidP="00860F3B">
          <w:pPr>
            <w:spacing w:after="120" w:line="360" w:lineRule="auto"/>
            <w:rPr>
              <w:rFonts w:ascii="Arial" w:eastAsia="Times New Roman" w:hAnsi="Arial" w:cs="Arial"/>
              <w:smallCaps/>
              <w:sz w:val="20"/>
              <w:szCs w:val="20"/>
            </w:rPr>
          </w:pPr>
          <w:r w:rsidRPr="00860F3B">
            <w:rPr>
              <w:rFonts w:ascii="Arial" w:eastAsia="Times New Roman" w:hAnsi="Arial" w:cs="Arial"/>
              <w:smallCaps/>
              <w:sz w:val="20"/>
              <w:szCs w:val="20"/>
            </w:rPr>
            <w:fldChar w:fldCharType="end"/>
          </w:r>
        </w:p>
      </w:sdtContent>
    </w:sdt>
    <w:bookmarkEnd w:id="0" w:displacedByCustomXml="prev"/>
    <w:p w14:paraId="352EA5C4" w14:textId="77777777" w:rsidR="00712D11" w:rsidRPr="00B940FE" w:rsidRDefault="00712D11" w:rsidP="00B940FE">
      <w:pPr>
        <w:spacing w:line="360" w:lineRule="auto"/>
        <w:rPr>
          <w:rFonts w:ascii="Arial" w:hAnsi="Arial" w:cs="Arial"/>
          <w:sz w:val="20"/>
          <w:szCs w:val="20"/>
        </w:rPr>
      </w:pPr>
    </w:p>
    <w:p w14:paraId="39DDBAD9" w14:textId="66AE0BC0" w:rsidR="009845C5" w:rsidRPr="00B63D46" w:rsidRDefault="00BE161C" w:rsidP="001C5E9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Toc481769574"/>
      <w:r w:rsidRPr="00B63D46">
        <w:rPr>
          <w:rFonts w:ascii="Arial" w:hAnsi="Arial" w:cs="Arial"/>
          <w:sz w:val="20"/>
          <w:szCs w:val="20"/>
        </w:rPr>
        <w:br w:type="page"/>
      </w:r>
      <w:bookmarkStart w:id="2" w:name="_Toc483913135"/>
    </w:p>
    <w:p w14:paraId="31742792" w14:textId="5ECC8C6A" w:rsidR="00672A73" w:rsidRPr="00B63D46" w:rsidRDefault="008003B5" w:rsidP="008003B5">
      <w:pPr>
        <w:pStyle w:val="Nagwek2"/>
        <w:spacing w:before="120" w:line="360" w:lineRule="auto"/>
        <w:rPr>
          <w:rFonts w:ascii="Arial" w:hAnsi="Arial" w:cs="Arial"/>
          <w:smallCaps/>
          <w:szCs w:val="24"/>
        </w:rPr>
      </w:pPr>
      <w:bookmarkStart w:id="3" w:name="_Toc70604519"/>
      <w:bookmarkEnd w:id="2"/>
      <w:r>
        <w:rPr>
          <w:rFonts w:ascii="Arial" w:hAnsi="Arial" w:cs="Arial"/>
          <w:smallCaps/>
          <w:szCs w:val="24"/>
        </w:rPr>
        <w:lastRenderedPageBreak/>
        <w:t xml:space="preserve">1. </w:t>
      </w:r>
      <w:r w:rsidR="0012659E" w:rsidRPr="00B63D46">
        <w:rPr>
          <w:rFonts w:ascii="Arial" w:hAnsi="Arial" w:cs="Arial"/>
          <w:smallCaps/>
          <w:szCs w:val="24"/>
        </w:rPr>
        <w:t>Informacje ogólne</w:t>
      </w:r>
      <w:bookmarkEnd w:id="3"/>
    </w:p>
    <w:p w14:paraId="423B7D83" w14:textId="4D492BEB" w:rsidR="0012659E" w:rsidRPr="00B63D46" w:rsidRDefault="006C6A9E" w:rsidP="008003B5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4" w:name="_Toc70604520"/>
      <w:bookmarkStart w:id="5" w:name="_Toc483913136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Cel sporządzenia </w:t>
      </w:r>
      <w:r w:rsidR="00BD10A8" w:rsidRPr="009C1DF1">
        <w:rPr>
          <w:rFonts w:ascii="Arial" w:hAnsi="Arial"/>
          <w:b/>
          <w:smallCaps/>
          <w:color w:val="012169"/>
          <w:sz w:val="22"/>
          <w:szCs w:val="22"/>
        </w:rPr>
        <w:t>informacji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 xml:space="preserve"> o </w:t>
      </w:r>
      <w:r w:rsidR="009D69B6">
        <w:rPr>
          <w:rFonts w:ascii="Arial" w:hAnsi="Arial"/>
          <w:b/>
          <w:smallCaps/>
          <w:color w:val="012169"/>
          <w:sz w:val="22"/>
          <w:szCs w:val="22"/>
        </w:rPr>
        <w:t xml:space="preserve">realizacji </w:t>
      </w:r>
      <w:r w:rsidR="00BD10A8">
        <w:rPr>
          <w:rFonts w:ascii="Arial" w:hAnsi="Arial"/>
          <w:b/>
          <w:smallCaps/>
          <w:color w:val="012169"/>
          <w:sz w:val="22"/>
          <w:szCs w:val="22"/>
        </w:rPr>
        <w:t>strategii podatkowej</w:t>
      </w:r>
      <w:bookmarkEnd w:id="4"/>
    </w:p>
    <w:bookmarkEnd w:id="1"/>
    <w:bookmarkEnd w:id="5"/>
    <w:p w14:paraId="1256F105" w14:textId="7A9D94E1" w:rsidR="00AC678C" w:rsidRPr="00A865D6" w:rsidRDefault="006C6A9E" w:rsidP="00BD10A8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B2E2C">
        <w:rPr>
          <w:rFonts w:ascii="Arial" w:hAnsi="Arial" w:cs="Arial"/>
          <w:sz w:val="20"/>
          <w:szCs w:val="20"/>
        </w:rPr>
        <w:t>Celem</w:t>
      </w:r>
      <w:r w:rsidR="00AC678C" w:rsidRPr="003B2E2C">
        <w:rPr>
          <w:rFonts w:ascii="Arial" w:hAnsi="Arial" w:cs="Arial"/>
          <w:sz w:val="20"/>
          <w:szCs w:val="20"/>
        </w:rPr>
        <w:t xml:space="preserve"> sporządzenia przez</w:t>
      </w:r>
      <w:r w:rsidR="003B2E2C" w:rsidRPr="003B2E2C">
        <w:rPr>
          <w:rFonts w:ascii="Arial" w:hAnsi="Arial" w:cs="Arial"/>
          <w:sz w:val="20"/>
          <w:szCs w:val="20"/>
        </w:rPr>
        <w:t xml:space="preserve"> LOT Aircraft Maintenance Services sp. z o</w:t>
      </w:r>
      <w:r w:rsidR="003B2E2C">
        <w:rPr>
          <w:rFonts w:ascii="Arial" w:hAnsi="Arial" w:cs="Arial"/>
          <w:sz w:val="20"/>
          <w:szCs w:val="20"/>
        </w:rPr>
        <w:t>.o.</w:t>
      </w:r>
      <w:r w:rsidR="00946849" w:rsidRPr="003B2E2C">
        <w:rPr>
          <w:rFonts w:ascii="Arial" w:hAnsi="Arial" w:cs="Arial"/>
          <w:sz w:val="20"/>
          <w:szCs w:val="20"/>
        </w:rPr>
        <w:t xml:space="preserve"> </w:t>
      </w:r>
      <w:r w:rsidR="003B2E2C">
        <w:rPr>
          <w:rFonts w:ascii="Arial" w:hAnsi="Arial" w:cs="Arial"/>
          <w:sz w:val="20"/>
          <w:szCs w:val="20"/>
        </w:rPr>
        <w:t>(„</w:t>
      </w:r>
      <w:r w:rsidR="009D146E">
        <w:rPr>
          <w:rFonts w:ascii="Arial" w:hAnsi="Arial" w:cs="Arial"/>
          <w:sz w:val="20"/>
          <w:szCs w:val="20"/>
        </w:rPr>
        <w:t>LOT</w:t>
      </w:r>
      <w:r w:rsidR="00340C79">
        <w:rPr>
          <w:rFonts w:ascii="Arial" w:hAnsi="Arial" w:cs="Arial"/>
          <w:sz w:val="20"/>
          <w:szCs w:val="20"/>
        </w:rPr>
        <w:t>AMS</w:t>
      </w:r>
      <w:r w:rsidR="003B2E2C">
        <w:rPr>
          <w:rFonts w:ascii="Arial" w:hAnsi="Arial" w:cs="Arial"/>
          <w:sz w:val="20"/>
          <w:szCs w:val="20"/>
        </w:rPr>
        <w:t>”</w:t>
      </w:r>
      <w:r w:rsidR="009F036E">
        <w:rPr>
          <w:rFonts w:ascii="Arial" w:hAnsi="Arial" w:cs="Arial"/>
          <w:sz w:val="20"/>
          <w:szCs w:val="20"/>
        </w:rPr>
        <w:t xml:space="preserve"> lub „Spółka”</w:t>
      </w:r>
      <w:r w:rsidR="003B2E2C">
        <w:rPr>
          <w:rFonts w:ascii="Arial" w:hAnsi="Arial" w:cs="Arial"/>
          <w:sz w:val="20"/>
          <w:szCs w:val="20"/>
        </w:rPr>
        <w:t>)</w:t>
      </w:r>
      <w:r w:rsidRPr="00A865D6">
        <w:rPr>
          <w:rFonts w:ascii="Arial" w:hAnsi="Arial" w:cs="Arial"/>
          <w:sz w:val="20"/>
          <w:szCs w:val="20"/>
        </w:rPr>
        <w:t xml:space="preserve"> </w:t>
      </w:r>
      <w:r w:rsidR="00BD10A8" w:rsidRPr="00A865D6">
        <w:rPr>
          <w:rFonts w:ascii="Arial" w:hAnsi="Arial" w:cs="Arial"/>
          <w:sz w:val="20"/>
          <w:szCs w:val="20"/>
        </w:rPr>
        <w:t xml:space="preserve">informacji o </w:t>
      </w:r>
      <w:r w:rsidR="003B2E2C">
        <w:rPr>
          <w:rFonts w:ascii="Arial" w:hAnsi="Arial" w:cs="Arial"/>
          <w:sz w:val="20"/>
          <w:szCs w:val="20"/>
        </w:rPr>
        <w:t> </w:t>
      </w:r>
      <w:r w:rsidR="00BD10A8" w:rsidRPr="00A865D6">
        <w:rPr>
          <w:rFonts w:ascii="Arial" w:hAnsi="Arial" w:cs="Arial"/>
          <w:sz w:val="20"/>
          <w:szCs w:val="20"/>
        </w:rPr>
        <w:t>realizowanej strategii podatkowej</w:t>
      </w:r>
      <w:r w:rsidR="00AD0007" w:rsidRPr="00A865D6">
        <w:rPr>
          <w:rFonts w:ascii="Arial" w:hAnsi="Arial" w:cs="Arial"/>
          <w:sz w:val="20"/>
          <w:szCs w:val="20"/>
        </w:rPr>
        <w:t xml:space="preserve"> </w:t>
      </w:r>
      <w:r w:rsidR="00362467" w:rsidRPr="00A865D6">
        <w:rPr>
          <w:rFonts w:ascii="Arial" w:hAnsi="Arial" w:cs="Arial"/>
          <w:sz w:val="20"/>
          <w:szCs w:val="20"/>
        </w:rPr>
        <w:t>jest</w:t>
      </w:r>
      <w:r w:rsidR="00BD10A8" w:rsidRPr="00A865D6">
        <w:rPr>
          <w:rFonts w:ascii="Arial" w:hAnsi="Arial" w:cs="Arial"/>
          <w:sz w:val="20"/>
          <w:szCs w:val="20"/>
        </w:rPr>
        <w:t xml:space="preserve"> spełnienie </w:t>
      </w:r>
      <w:r w:rsidR="00AC678C" w:rsidRPr="00A865D6">
        <w:rPr>
          <w:rFonts w:ascii="Arial" w:hAnsi="Arial" w:cs="Arial"/>
          <w:sz w:val="20"/>
          <w:szCs w:val="20"/>
        </w:rPr>
        <w:t xml:space="preserve">nałożonego na Spółkę </w:t>
      </w:r>
      <w:r w:rsidR="00BD10A8" w:rsidRPr="00A865D6">
        <w:rPr>
          <w:rFonts w:ascii="Arial" w:hAnsi="Arial" w:cs="Arial"/>
          <w:sz w:val="20"/>
          <w:szCs w:val="20"/>
        </w:rPr>
        <w:t>obowiązku</w:t>
      </w:r>
      <w:r w:rsidR="00AC678C" w:rsidRPr="00A865D6">
        <w:rPr>
          <w:rFonts w:ascii="Arial" w:hAnsi="Arial" w:cs="Arial"/>
          <w:sz w:val="20"/>
          <w:szCs w:val="20"/>
        </w:rPr>
        <w:t xml:space="preserve">, zgodnie z którym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podatnicy, </w:t>
      </w:r>
      <w:r w:rsidR="00AC678C" w:rsidRPr="00A865D6">
        <w:rPr>
          <w:rFonts w:ascii="Arial" w:hAnsi="Arial" w:cs="Arial"/>
          <w:sz w:val="20"/>
          <w:szCs w:val="20"/>
        </w:rPr>
        <w:t>których przychody w poprzednim roku przekroczyły równowartość 50 mln euro, a także działający w formie podatkowej grupy kapitałowej</w:t>
      </w:r>
      <w:r w:rsidR="00D71D7D" w:rsidRPr="00A865D6">
        <w:rPr>
          <w:rFonts w:ascii="Arial" w:hAnsi="Arial" w:cs="Arial"/>
          <w:sz w:val="20"/>
          <w:szCs w:val="20"/>
        </w:rPr>
        <w:t>, niezależnie od osiąganych przez grupę przychodów,</w:t>
      </w:r>
      <w:r w:rsidR="00AC678C" w:rsidRPr="00A865D6">
        <w:rPr>
          <w:rFonts w:ascii="Arial" w:hAnsi="Arial" w:cs="Arial"/>
          <w:sz w:val="20"/>
          <w:szCs w:val="20"/>
        </w:rPr>
        <w:t xml:space="preserve"> 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są obowiązani do sporządzania i podawania do publicznej wiadomości informacji o</w:t>
      </w:r>
      <w:r w:rsidR="009F036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AC678C" w:rsidRPr="00A865D6">
        <w:rPr>
          <w:rFonts w:ascii="Arial" w:hAnsi="Arial" w:cs="Arial"/>
          <w:sz w:val="20"/>
          <w:szCs w:val="20"/>
          <w:shd w:val="clear" w:color="auto" w:fill="FFFFFF"/>
        </w:rPr>
        <w:t>realizowanej strategii podatkowej za rok podatkowy.</w:t>
      </w:r>
    </w:p>
    <w:p w14:paraId="79EC2CA1" w14:textId="48B70DF3" w:rsidR="00DB7381" w:rsidRDefault="009D69B6" w:rsidP="00DB7381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Informacja o realizacji strategii podatkowej została sporządzona za rok podatkowy Spółki zakończony z dniem 31 grudnia </w:t>
      </w:r>
      <w:r w:rsidR="00212A1A">
        <w:rPr>
          <w:rFonts w:ascii="Arial" w:hAnsi="Arial" w:cs="Arial"/>
          <w:sz w:val="20"/>
          <w:szCs w:val="20"/>
          <w:shd w:val="clear" w:color="auto" w:fill="FFFFFF"/>
        </w:rPr>
        <w:t>2022</w:t>
      </w:r>
      <w:r w:rsidR="00E2770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865D6">
        <w:rPr>
          <w:rFonts w:ascii="Arial" w:hAnsi="Arial" w:cs="Arial"/>
          <w:sz w:val="20"/>
          <w:szCs w:val="20"/>
          <w:shd w:val="clear" w:color="auto" w:fill="FFFFFF"/>
        </w:rPr>
        <w:t xml:space="preserve">r., tj. rok podatkowy </w:t>
      </w:r>
      <w:r w:rsidR="00EA0BED">
        <w:rPr>
          <w:rFonts w:ascii="Arial" w:hAnsi="Arial" w:cs="Arial"/>
          <w:sz w:val="20"/>
          <w:szCs w:val="20"/>
          <w:shd w:val="clear" w:color="auto" w:fill="FFFFFF"/>
        </w:rPr>
        <w:t xml:space="preserve">rozpoczynający się 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1 stycznia </w:t>
      </w:r>
      <w:r w:rsidR="00212A1A">
        <w:rPr>
          <w:rFonts w:ascii="Arial" w:hAnsi="Arial" w:cs="Arial"/>
          <w:sz w:val="20"/>
          <w:szCs w:val="20"/>
          <w:shd w:val="clear" w:color="auto" w:fill="FFFFFF"/>
        </w:rPr>
        <w:t>2022</w:t>
      </w:r>
      <w:r w:rsidR="0011794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 xml:space="preserve">r. i zakończony 31 grudnia </w:t>
      </w:r>
      <w:r w:rsidR="00212A1A">
        <w:rPr>
          <w:rFonts w:ascii="Arial" w:hAnsi="Arial" w:cs="Arial"/>
          <w:sz w:val="20"/>
          <w:szCs w:val="20"/>
          <w:shd w:val="clear" w:color="auto" w:fill="FFFFFF"/>
        </w:rPr>
        <w:t xml:space="preserve">2022 </w:t>
      </w:r>
      <w:r w:rsidR="00F4121F">
        <w:rPr>
          <w:rFonts w:ascii="Arial" w:hAnsi="Arial" w:cs="Arial"/>
          <w:sz w:val="20"/>
          <w:szCs w:val="20"/>
          <w:shd w:val="clear" w:color="auto" w:fill="FFFFFF"/>
        </w:rPr>
        <w:t>r. („Rok Podatkowy”).</w:t>
      </w:r>
    </w:p>
    <w:p w14:paraId="6F94A381" w14:textId="5FBB9B8A" w:rsidR="005E122C" w:rsidRPr="00A865D6" w:rsidRDefault="005E122C" w:rsidP="005E122C">
      <w:pPr>
        <w:spacing w:before="24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Spółka posiada oraz stosuje s</w:t>
      </w:r>
      <w:r w:rsidRPr="000B4203">
        <w:rPr>
          <w:rFonts w:ascii="Arial" w:hAnsi="Arial" w:cs="Arial"/>
          <w:sz w:val="20"/>
          <w:szCs w:val="20"/>
        </w:rPr>
        <w:t>trategi</w:t>
      </w:r>
      <w:r>
        <w:rPr>
          <w:rFonts w:ascii="Arial" w:hAnsi="Arial" w:cs="Arial"/>
          <w:sz w:val="20"/>
          <w:szCs w:val="20"/>
        </w:rPr>
        <w:t>ę</w:t>
      </w:r>
      <w:r w:rsidRPr="000B4203">
        <w:rPr>
          <w:rFonts w:ascii="Arial" w:hAnsi="Arial" w:cs="Arial"/>
          <w:sz w:val="20"/>
          <w:szCs w:val="20"/>
        </w:rPr>
        <w:t xml:space="preserve"> podatkow</w:t>
      </w:r>
      <w:r>
        <w:rPr>
          <w:rFonts w:ascii="Arial" w:hAnsi="Arial" w:cs="Arial"/>
          <w:sz w:val="20"/>
          <w:szCs w:val="20"/>
        </w:rPr>
        <w:t>ą</w:t>
      </w:r>
      <w:r w:rsidRPr="000B4203">
        <w:rPr>
          <w:rFonts w:ascii="Arial" w:hAnsi="Arial" w:cs="Arial"/>
          <w:sz w:val="20"/>
          <w:szCs w:val="20"/>
        </w:rPr>
        <w:t xml:space="preserve"> wskazuj</w:t>
      </w:r>
      <w:r>
        <w:rPr>
          <w:rFonts w:ascii="Arial" w:hAnsi="Arial" w:cs="Arial"/>
          <w:sz w:val="20"/>
          <w:szCs w:val="20"/>
        </w:rPr>
        <w:t>ącą</w:t>
      </w:r>
      <w:r w:rsidRPr="000B4203">
        <w:rPr>
          <w:rFonts w:ascii="Arial" w:hAnsi="Arial" w:cs="Arial"/>
          <w:sz w:val="20"/>
          <w:szCs w:val="20"/>
        </w:rPr>
        <w:t xml:space="preserve"> wizję i misję podatkową oraz cele podatkowe (długoterminowe), uwzględniając jednocześnie ich wpływ na realizację celów biznesowych</w:t>
      </w:r>
      <w:r>
        <w:rPr>
          <w:rFonts w:ascii="Arial" w:hAnsi="Arial" w:cs="Arial"/>
          <w:sz w:val="20"/>
          <w:szCs w:val="20"/>
        </w:rPr>
        <w:t xml:space="preserve"> Spółki.</w:t>
      </w:r>
      <w:r w:rsidRPr="006E29E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B4203">
        <w:rPr>
          <w:rFonts w:ascii="Arial" w:hAnsi="Arial" w:cs="Arial"/>
          <w:sz w:val="20"/>
          <w:szCs w:val="20"/>
          <w:lang w:eastAsia="pl-PL"/>
        </w:rPr>
        <w:t xml:space="preserve">Strategia podatkowa </w:t>
      </w:r>
      <w:r w:rsidR="00C77BDB">
        <w:rPr>
          <w:rFonts w:ascii="Arial" w:hAnsi="Arial" w:cs="Arial"/>
          <w:sz w:val="20"/>
          <w:szCs w:val="20"/>
          <w:lang w:eastAsia="pl-PL"/>
        </w:rPr>
        <w:t>wskazuje</w:t>
      </w:r>
      <w:r>
        <w:rPr>
          <w:rFonts w:ascii="Arial" w:hAnsi="Arial" w:cs="Arial"/>
          <w:sz w:val="20"/>
          <w:szCs w:val="20"/>
          <w:lang w:eastAsia="pl-PL"/>
        </w:rPr>
        <w:t xml:space="preserve"> podejście Spółki do zarządzani</w:t>
      </w:r>
      <w:r w:rsidR="0083617D">
        <w:rPr>
          <w:rFonts w:ascii="Arial" w:hAnsi="Arial" w:cs="Arial"/>
          <w:sz w:val="20"/>
          <w:szCs w:val="20"/>
          <w:lang w:eastAsia="pl-PL"/>
        </w:rPr>
        <w:t>a funkcją podatkową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0B4203">
        <w:rPr>
          <w:rFonts w:ascii="Arial" w:hAnsi="Arial" w:cs="Arial"/>
          <w:sz w:val="20"/>
          <w:szCs w:val="20"/>
          <w:lang w:eastAsia="pl-PL"/>
        </w:rPr>
        <w:t>określa formuły decyzyjne obejmujące cele oraz środki umożliwiające prawidłową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0B4203">
        <w:rPr>
          <w:rFonts w:ascii="Arial" w:hAnsi="Arial" w:cs="Arial"/>
          <w:sz w:val="20"/>
          <w:szCs w:val="20"/>
          <w:lang w:eastAsia="pl-PL"/>
        </w:rPr>
        <w:t>terminową realizację obowiązków</w:t>
      </w:r>
      <w:r w:rsidR="00CE4B8F">
        <w:rPr>
          <w:rFonts w:ascii="Arial" w:hAnsi="Arial" w:cs="Arial"/>
          <w:sz w:val="20"/>
          <w:szCs w:val="20"/>
          <w:lang w:eastAsia="pl-PL"/>
        </w:rPr>
        <w:t xml:space="preserve"> podatkowych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2EFE9F7A" w14:textId="4FDFBC15" w:rsidR="006C6A9E" w:rsidRPr="00B63D46" w:rsidRDefault="006C6A9E" w:rsidP="00902FE0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6" w:name="_Toc70604521"/>
      <w:r w:rsidRPr="00B63D46">
        <w:rPr>
          <w:rFonts w:ascii="Arial" w:hAnsi="Arial"/>
          <w:b/>
          <w:smallCaps/>
          <w:color w:val="012169"/>
          <w:sz w:val="22"/>
          <w:szCs w:val="22"/>
        </w:rPr>
        <w:t xml:space="preserve">Podstawa prawna </w:t>
      </w:r>
      <w:r w:rsidR="004838B5">
        <w:rPr>
          <w:rFonts w:ascii="Arial" w:hAnsi="Arial"/>
          <w:b/>
          <w:smallCaps/>
          <w:color w:val="012169"/>
          <w:sz w:val="22"/>
          <w:szCs w:val="22"/>
        </w:rPr>
        <w:t>informacji o realizacji strategii podatkowej</w:t>
      </w:r>
      <w:bookmarkEnd w:id="6"/>
    </w:p>
    <w:p w14:paraId="72F33B39" w14:textId="37F0EFD3" w:rsidR="00E16BF8" w:rsidRPr="00B63D46" w:rsidRDefault="00E553EB" w:rsidP="00113DA5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58516573"/>
      <w:r>
        <w:rPr>
          <w:rFonts w:ascii="Arial" w:hAnsi="Arial" w:cs="Arial"/>
          <w:sz w:val="20"/>
          <w:szCs w:val="20"/>
        </w:rPr>
        <w:t>Informacja o realizacji strategii podatkowej</w:t>
      </w:r>
      <w:r w:rsidR="00E16BF8" w:rsidRPr="00B63D46">
        <w:rPr>
          <w:rFonts w:ascii="Arial" w:hAnsi="Arial" w:cs="Arial"/>
          <w:sz w:val="20"/>
          <w:szCs w:val="20"/>
        </w:rPr>
        <w:t xml:space="preserve"> została przygotowana zgodnie z wymogami art. </w:t>
      </w:r>
      <w:r>
        <w:rPr>
          <w:rFonts w:ascii="Arial" w:hAnsi="Arial" w:cs="Arial"/>
          <w:sz w:val="20"/>
          <w:szCs w:val="20"/>
        </w:rPr>
        <w:t>27c</w:t>
      </w:r>
      <w:r w:rsidR="00E16BF8" w:rsidRPr="00B63D46">
        <w:rPr>
          <w:rFonts w:ascii="Arial" w:hAnsi="Arial" w:cs="Arial"/>
          <w:sz w:val="20"/>
          <w:szCs w:val="20"/>
        </w:rPr>
        <w:t xml:space="preserve"> Ustawy o CIT</w:t>
      </w:r>
      <w:r w:rsidR="001778F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. </w:t>
      </w:r>
      <w:r w:rsidR="00E16BF8" w:rsidRPr="00B63D46">
        <w:rPr>
          <w:rFonts w:ascii="Arial" w:hAnsi="Arial" w:cs="Arial"/>
          <w:sz w:val="20"/>
          <w:szCs w:val="20"/>
        </w:rPr>
        <w:t xml:space="preserve">Przepisy będące podstawą dla sporządzania </w:t>
      </w:r>
      <w:r>
        <w:rPr>
          <w:rFonts w:ascii="Arial" w:hAnsi="Arial" w:cs="Arial"/>
          <w:sz w:val="20"/>
          <w:szCs w:val="20"/>
        </w:rPr>
        <w:t xml:space="preserve">Informacji o realizacji strategii podatkowej </w:t>
      </w:r>
      <w:r w:rsidR="00023E55">
        <w:rPr>
          <w:rFonts w:ascii="Arial" w:hAnsi="Arial" w:cs="Arial"/>
          <w:sz w:val="20"/>
          <w:szCs w:val="20"/>
        </w:rPr>
        <w:t>zostały wskazane w kolejnych punktach</w:t>
      </w:r>
      <w:r w:rsidR="00971824">
        <w:rPr>
          <w:rFonts w:ascii="Arial" w:hAnsi="Arial" w:cs="Arial"/>
          <w:sz w:val="20"/>
          <w:szCs w:val="20"/>
        </w:rPr>
        <w:t xml:space="preserve"> niniejszej</w:t>
      </w:r>
      <w:r w:rsidR="00023E55">
        <w:rPr>
          <w:rFonts w:ascii="Arial" w:hAnsi="Arial" w:cs="Arial"/>
          <w:sz w:val="20"/>
          <w:szCs w:val="20"/>
        </w:rPr>
        <w:t xml:space="preserve"> informacji</w:t>
      </w:r>
      <w:r w:rsidR="00971824">
        <w:rPr>
          <w:rFonts w:ascii="Arial" w:hAnsi="Arial" w:cs="Arial"/>
          <w:sz w:val="20"/>
          <w:szCs w:val="20"/>
        </w:rPr>
        <w:t>.</w:t>
      </w:r>
    </w:p>
    <w:p w14:paraId="52F876A0" w14:textId="77777777" w:rsidR="00E16BF8" w:rsidRPr="00B63D46" w:rsidRDefault="00E16BF8" w:rsidP="001C5E9F">
      <w:pPr>
        <w:spacing w:line="360" w:lineRule="auto"/>
        <w:rPr>
          <w:rFonts w:ascii="Arial" w:eastAsia="Times New Roman" w:hAnsi="Arial" w:cs="Arial"/>
          <w:b/>
          <w:bCs/>
          <w:iCs/>
          <w:smallCaps/>
          <w:sz w:val="20"/>
          <w:szCs w:val="20"/>
        </w:rPr>
      </w:pPr>
      <w:bookmarkStart w:id="8" w:name="_Toc481769576"/>
      <w:bookmarkStart w:id="9" w:name="_Toc483913138"/>
      <w:bookmarkEnd w:id="7"/>
      <w:r w:rsidRPr="00B63D46">
        <w:rPr>
          <w:rFonts w:ascii="Arial" w:hAnsi="Arial" w:cs="Arial"/>
          <w:smallCaps/>
          <w:sz w:val="20"/>
          <w:szCs w:val="20"/>
        </w:rPr>
        <w:br w:type="page"/>
      </w:r>
    </w:p>
    <w:p w14:paraId="57E1AC4A" w14:textId="411C04E5" w:rsidR="00055171" w:rsidRPr="00CE4B8F" w:rsidRDefault="00055171" w:rsidP="009C1DF1">
      <w:pPr>
        <w:pStyle w:val="Nagwek2"/>
        <w:numPr>
          <w:ilvl w:val="0"/>
          <w:numId w:val="6"/>
        </w:numPr>
        <w:spacing w:line="360" w:lineRule="auto"/>
        <w:jc w:val="left"/>
        <w:rPr>
          <w:rFonts w:ascii="Arial" w:hAnsi="Arial" w:cs="Arial"/>
          <w:smallCaps/>
          <w:color w:val="000000" w:themeColor="text1"/>
          <w:szCs w:val="24"/>
        </w:rPr>
      </w:pPr>
      <w:bookmarkStart w:id="10" w:name="_Toc70604522"/>
      <w:bookmarkEnd w:id="8"/>
      <w:bookmarkEnd w:id="9"/>
      <w:r w:rsidRPr="00CE4B8F">
        <w:rPr>
          <w:rFonts w:ascii="Arial" w:hAnsi="Arial" w:cs="Arial"/>
          <w:smallCaps/>
          <w:color w:val="000000" w:themeColor="text1"/>
          <w:szCs w:val="24"/>
        </w:rPr>
        <w:lastRenderedPageBreak/>
        <w:t>Elementy</w:t>
      </w:r>
      <w:bookmarkStart w:id="11" w:name="_Toc481769584"/>
      <w:bookmarkStart w:id="12" w:name="_Toc483913148"/>
      <w:r w:rsidR="004F72A0" w:rsidRPr="00CE4B8F">
        <w:rPr>
          <w:rFonts w:ascii="Arial" w:hAnsi="Arial" w:cs="Arial"/>
          <w:smallCaps/>
          <w:color w:val="000000" w:themeColor="text1"/>
          <w:szCs w:val="24"/>
        </w:rPr>
        <w:t xml:space="preserve"> informacji o realizacji strategii pod</w:t>
      </w:r>
      <w:r w:rsidR="00984177" w:rsidRPr="00CE4B8F">
        <w:rPr>
          <w:rFonts w:ascii="Arial" w:hAnsi="Arial" w:cs="Arial"/>
          <w:smallCaps/>
          <w:color w:val="000000" w:themeColor="text1"/>
          <w:szCs w:val="24"/>
        </w:rPr>
        <w:t>a</w:t>
      </w:r>
      <w:r w:rsidR="004F72A0" w:rsidRPr="00CE4B8F">
        <w:rPr>
          <w:rFonts w:ascii="Arial" w:hAnsi="Arial" w:cs="Arial"/>
          <w:smallCaps/>
          <w:color w:val="000000" w:themeColor="text1"/>
          <w:szCs w:val="24"/>
        </w:rPr>
        <w:t>tkowej</w:t>
      </w:r>
      <w:bookmarkEnd w:id="10"/>
    </w:p>
    <w:p w14:paraId="7E03B539" w14:textId="4F6F6D71" w:rsidR="0012659E" w:rsidRPr="002255BC" w:rsidRDefault="00C408CE" w:rsidP="002255BC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3" w:name="_Toc70604523"/>
      <w:r w:rsidRPr="002255BC">
        <w:rPr>
          <w:rFonts w:ascii="Arial" w:hAnsi="Arial"/>
          <w:b/>
          <w:smallCaps/>
          <w:color w:val="012169"/>
          <w:sz w:val="22"/>
          <w:szCs w:val="22"/>
        </w:rPr>
        <w:t>Procesy i procedury podatkowe</w:t>
      </w:r>
      <w:bookmarkEnd w:id="13"/>
    </w:p>
    <w:p w14:paraId="55797D75" w14:textId="3037417F" w:rsidR="00CE130B" w:rsidRPr="009C1DF1" w:rsidRDefault="00CE130B" w:rsidP="00B726EA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art.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27c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ust. 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2 </w:t>
      </w:r>
      <w:r w:rsidR="00FC3C5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pkt</w:t>
      </w:r>
      <w:r w:rsidR="00984177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1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1C39E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podatnika: a</w:t>
      </w:r>
      <w:r w:rsidR="00A9718C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) </w:t>
      </w:r>
      <w:r w:rsidR="008F6E1E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procesach oraz procedurach dotyczących zarządzania wykonywaniem obowiązków wynikających z przepisów prawa podatkowego i zapewniających ich prawidłowe wykonanie</w:t>
      </w:r>
      <w:r w:rsidR="00B726E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7B48384" w14:textId="77777777" w:rsidR="007239A9" w:rsidRPr="005679F3" w:rsidRDefault="007239A9" w:rsidP="009C1DF1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5679F3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Procesy podatkowe</w:t>
      </w:r>
    </w:p>
    <w:p w14:paraId="462D518D" w14:textId="65BA69C2" w:rsidR="00596EA0" w:rsidRDefault="00F66755" w:rsidP="009C1DF1">
      <w:pPr>
        <w:spacing w:before="240"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LOTAMS</w:t>
      </w:r>
      <w:r w:rsidR="00596EA0">
        <w:rPr>
          <w:rStyle w:val="text-justify"/>
          <w:rFonts w:ascii="Arial" w:hAnsi="Arial" w:cs="Arial"/>
          <w:sz w:val="20"/>
          <w:szCs w:val="20"/>
        </w:rPr>
        <w:t xml:space="preserve"> przestrzega przepisów </w:t>
      </w:r>
      <w:r w:rsidR="0065009C">
        <w:rPr>
          <w:rStyle w:val="text-justify"/>
          <w:rFonts w:ascii="Arial" w:hAnsi="Arial" w:cs="Arial"/>
          <w:sz w:val="20"/>
          <w:szCs w:val="20"/>
        </w:rPr>
        <w:t xml:space="preserve">prawa </w:t>
      </w:r>
      <w:r w:rsidR="00596EA0">
        <w:rPr>
          <w:rStyle w:val="text-justify"/>
          <w:rFonts w:ascii="Arial" w:hAnsi="Arial" w:cs="Arial"/>
          <w:sz w:val="20"/>
          <w:szCs w:val="20"/>
        </w:rPr>
        <w:t>podatkow</w:t>
      </w:r>
      <w:r w:rsidR="0065009C">
        <w:rPr>
          <w:rStyle w:val="text-justify"/>
          <w:rFonts w:ascii="Arial" w:hAnsi="Arial" w:cs="Arial"/>
          <w:sz w:val="20"/>
          <w:szCs w:val="20"/>
        </w:rPr>
        <w:t>ego</w:t>
      </w:r>
      <w:r w:rsidR="00596EA0">
        <w:rPr>
          <w:rStyle w:val="text-justify"/>
          <w:rFonts w:ascii="Arial" w:hAnsi="Arial" w:cs="Arial"/>
          <w:sz w:val="20"/>
          <w:szCs w:val="20"/>
        </w:rPr>
        <w:t>, analizując przy tym implikacje podatkowe związane z</w:t>
      </w:r>
      <w:r w:rsidR="003638CC">
        <w:rPr>
          <w:rStyle w:val="text-justify"/>
          <w:rFonts w:ascii="Arial" w:hAnsi="Arial" w:cs="Arial"/>
          <w:sz w:val="20"/>
          <w:szCs w:val="20"/>
        </w:rPr>
        <w:t> </w:t>
      </w:r>
      <w:r w:rsidR="00596EA0">
        <w:rPr>
          <w:rStyle w:val="text-justify"/>
          <w:rFonts w:ascii="Arial" w:hAnsi="Arial" w:cs="Arial"/>
          <w:sz w:val="20"/>
          <w:szCs w:val="20"/>
        </w:rPr>
        <w:t>prowadzoną przez Spółkę działalnością</w:t>
      </w:r>
      <w:r w:rsidR="001C39EC">
        <w:rPr>
          <w:rStyle w:val="text-justify"/>
          <w:rFonts w:ascii="Arial" w:hAnsi="Arial" w:cs="Arial"/>
          <w:sz w:val="20"/>
          <w:szCs w:val="20"/>
        </w:rPr>
        <w:t xml:space="preserve"> oraz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z </w:t>
      </w:r>
      <w:r w:rsidR="001C39EC">
        <w:rPr>
          <w:rStyle w:val="text-justify"/>
          <w:rFonts w:ascii="Arial" w:hAnsi="Arial" w:cs="Arial"/>
          <w:sz w:val="20"/>
          <w:szCs w:val="20"/>
        </w:rPr>
        <w:t>poszczególnymi operacjami gospodarczymi</w:t>
      </w:r>
      <w:r w:rsidR="00596EA0">
        <w:rPr>
          <w:rStyle w:val="text-justify"/>
          <w:rFonts w:ascii="Arial" w:hAnsi="Arial" w:cs="Arial"/>
          <w:sz w:val="20"/>
          <w:szCs w:val="20"/>
        </w:rPr>
        <w:t>, jak również zarządza zobowiązaniami podatkowymi w ramach prowadzonej działalności operacyjnej.</w:t>
      </w:r>
    </w:p>
    <w:p w14:paraId="2187C706" w14:textId="74E22EB6" w:rsidR="00267982" w:rsidRDefault="00267982" w:rsidP="00267982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Składane deklaracje podatkowe, informacje podatkowe oraz rozliczenia podatkowe stanowią pełne odzwierciedlenie działalności gospodarczej Spółki na terenie Rzeczypospolitej Polskiej.</w:t>
      </w:r>
    </w:p>
    <w:p w14:paraId="0713F5EB" w14:textId="1C1EE464" w:rsidR="00C87E16" w:rsidRPr="00971824" w:rsidRDefault="0065009C" w:rsidP="00C87E16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Zarządzając wykonywaniem obowiązków wynikających z przepisów</w:t>
      </w:r>
      <w:r w:rsidR="000F16BB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DD7AB0">
        <w:rPr>
          <w:rStyle w:val="text-justify"/>
          <w:rFonts w:ascii="Arial" w:hAnsi="Arial" w:cs="Arial"/>
          <w:sz w:val="20"/>
          <w:szCs w:val="20"/>
        </w:rPr>
        <w:t xml:space="preserve">prawa podatkowego </w:t>
      </w:r>
      <w:r w:rsidR="007E42BB">
        <w:rPr>
          <w:rStyle w:val="text-justify"/>
          <w:rFonts w:ascii="Arial" w:hAnsi="Arial" w:cs="Arial"/>
          <w:sz w:val="20"/>
          <w:szCs w:val="20"/>
        </w:rPr>
        <w:t>LOTAMS</w:t>
      </w:r>
      <w:r w:rsidR="00EB5ED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254F9B">
        <w:rPr>
          <w:rStyle w:val="text-justify"/>
          <w:rFonts w:ascii="Arial" w:hAnsi="Arial" w:cs="Arial"/>
          <w:sz w:val="20"/>
          <w:szCs w:val="20"/>
        </w:rPr>
        <w:t>wykorzystuje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wewnętrzne procesy</w:t>
      </w:r>
      <w:r w:rsidR="00254F9B">
        <w:rPr>
          <w:rStyle w:val="text-justify"/>
          <w:rFonts w:ascii="Arial" w:hAnsi="Arial" w:cs="Arial"/>
          <w:sz w:val="20"/>
          <w:szCs w:val="20"/>
        </w:rPr>
        <w:t xml:space="preserve"> i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E352A9">
        <w:rPr>
          <w:rStyle w:val="text-justify"/>
          <w:rFonts w:ascii="Arial" w:hAnsi="Arial" w:cs="Arial"/>
          <w:sz w:val="20"/>
          <w:szCs w:val="20"/>
        </w:rPr>
        <w:t>procedury</w:t>
      </w:r>
      <w:r w:rsidR="00254F9B">
        <w:rPr>
          <w:rStyle w:val="text-justify"/>
          <w:rFonts w:ascii="Arial" w:hAnsi="Arial" w:cs="Arial"/>
          <w:sz w:val="20"/>
          <w:szCs w:val="20"/>
        </w:rPr>
        <w:t>,</w:t>
      </w:r>
      <w:r w:rsidR="00E352A9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C27524">
        <w:rPr>
          <w:rStyle w:val="text-justify"/>
          <w:rFonts w:ascii="Arial" w:hAnsi="Arial" w:cs="Arial"/>
          <w:sz w:val="20"/>
          <w:szCs w:val="20"/>
        </w:rPr>
        <w:t>jak również stos</w:t>
      </w:r>
      <w:r w:rsidR="00254F9B">
        <w:rPr>
          <w:rStyle w:val="text-justify"/>
          <w:rFonts w:ascii="Arial" w:hAnsi="Arial" w:cs="Arial"/>
          <w:sz w:val="20"/>
          <w:szCs w:val="20"/>
        </w:rPr>
        <w:t>uje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najlepsz</w:t>
      </w:r>
      <w:r w:rsidR="00254F9B">
        <w:rPr>
          <w:rStyle w:val="text-justify"/>
          <w:rFonts w:ascii="Arial" w:hAnsi="Arial" w:cs="Arial"/>
          <w:sz w:val="20"/>
          <w:szCs w:val="20"/>
        </w:rPr>
        <w:t>e</w:t>
      </w:r>
      <w:r w:rsidR="00C27524">
        <w:rPr>
          <w:rStyle w:val="text-justify"/>
          <w:rFonts w:ascii="Arial" w:hAnsi="Arial" w:cs="Arial"/>
          <w:sz w:val="20"/>
          <w:szCs w:val="20"/>
        </w:rPr>
        <w:t xml:space="preserve"> praktyk</w:t>
      </w:r>
      <w:r w:rsidR="00254F9B">
        <w:rPr>
          <w:rStyle w:val="text-justify"/>
          <w:rFonts w:ascii="Arial" w:hAnsi="Arial" w:cs="Arial"/>
          <w:sz w:val="20"/>
          <w:szCs w:val="20"/>
        </w:rPr>
        <w:t>i</w:t>
      </w:r>
      <w:r w:rsidR="00C27524">
        <w:rPr>
          <w:rStyle w:val="text-justify"/>
          <w:rFonts w:ascii="Arial" w:hAnsi="Arial" w:cs="Arial"/>
          <w:sz w:val="20"/>
          <w:szCs w:val="20"/>
        </w:rPr>
        <w:t>.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7E42BB">
        <w:rPr>
          <w:rStyle w:val="text-justify"/>
          <w:rFonts w:ascii="Arial" w:hAnsi="Arial" w:cs="Arial"/>
          <w:sz w:val="20"/>
          <w:szCs w:val="20"/>
        </w:rPr>
        <w:t>S</w:t>
      </w:r>
      <w:r w:rsidR="00CE4B8F">
        <w:rPr>
          <w:rStyle w:val="text-justify"/>
          <w:rFonts w:ascii="Arial" w:hAnsi="Arial" w:cs="Arial"/>
          <w:sz w:val="20"/>
          <w:szCs w:val="20"/>
        </w:rPr>
        <w:t>półka</w:t>
      </w:r>
      <w:r w:rsidR="00C87E16" w:rsidRPr="0012412E">
        <w:rPr>
          <w:rStyle w:val="text-justify"/>
          <w:rFonts w:ascii="Arial" w:hAnsi="Arial" w:cs="Arial"/>
          <w:sz w:val="20"/>
          <w:szCs w:val="20"/>
        </w:rPr>
        <w:t xml:space="preserve"> współprac</w:t>
      </w:r>
      <w:r w:rsidR="00C87E16" w:rsidRPr="00223AFB">
        <w:rPr>
          <w:rStyle w:val="text-justify"/>
          <w:rFonts w:ascii="Arial" w:hAnsi="Arial" w:cs="Arial"/>
          <w:sz w:val="20"/>
          <w:szCs w:val="20"/>
        </w:rPr>
        <w:t>uje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 xml:space="preserve"> z</w:t>
      </w:r>
      <w:r w:rsidR="00495A83">
        <w:rPr>
          <w:rStyle w:val="text-justify"/>
          <w:rFonts w:ascii="Arial" w:hAnsi="Arial" w:cs="Arial"/>
          <w:sz w:val="20"/>
          <w:szCs w:val="20"/>
        </w:rPr>
        <w:t> </w:t>
      </w:r>
      <w:r w:rsidR="00C87E16" w:rsidRPr="00AB720F">
        <w:rPr>
          <w:rStyle w:val="text-justify"/>
          <w:rFonts w:ascii="Arial" w:hAnsi="Arial" w:cs="Arial"/>
          <w:sz w:val="20"/>
          <w:szCs w:val="20"/>
        </w:rPr>
        <w:t>profesjonalnymi doradcami podatkowymi w zakresie specjalistycznych zagadnień prawa podatkowego</w:t>
      </w:r>
      <w:r w:rsidR="008A7CA7">
        <w:rPr>
          <w:rStyle w:val="text-justify"/>
          <w:rFonts w:ascii="Arial" w:hAnsi="Arial" w:cs="Arial"/>
          <w:sz w:val="20"/>
          <w:szCs w:val="20"/>
        </w:rPr>
        <w:t xml:space="preserve"> w obszarach, </w:t>
      </w:r>
      <w:r w:rsidR="00CE4B8F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8A7CA7">
        <w:rPr>
          <w:rStyle w:val="text-justify"/>
          <w:rFonts w:ascii="Arial" w:hAnsi="Arial" w:cs="Arial"/>
          <w:sz w:val="20"/>
          <w:szCs w:val="20"/>
        </w:rPr>
        <w:t>których niezbędne jest wsparcie zewnętrzne.</w:t>
      </w:r>
    </w:p>
    <w:p w14:paraId="09208EBF" w14:textId="0A6573ED" w:rsidR="00B305FD" w:rsidRPr="00B305FD" w:rsidRDefault="00495A83" w:rsidP="00B305FD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LOT</w:t>
      </w:r>
      <w:r w:rsidR="007E42BB">
        <w:rPr>
          <w:rStyle w:val="text-justify"/>
          <w:rFonts w:ascii="Arial" w:hAnsi="Arial" w:cs="Arial"/>
          <w:sz w:val="20"/>
          <w:szCs w:val="20"/>
        </w:rPr>
        <w:t>AMS</w:t>
      </w:r>
      <w:r w:rsidR="00B305FD" w:rsidRPr="00B305FD">
        <w:rPr>
          <w:rStyle w:val="text-justify"/>
          <w:rFonts w:ascii="Arial" w:hAnsi="Arial" w:cs="Arial"/>
          <w:sz w:val="20"/>
          <w:szCs w:val="20"/>
        </w:rPr>
        <w:t xml:space="preserve"> realizuje procesy dotyczące zapłaty podatków, obejmujące:</w:t>
      </w:r>
    </w:p>
    <w:p w14:paraId="4110DBFA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zebranie źródeł, na podstawie których wyliczana zostaje podstawa opodatkowania,</w:t>
      </w:r>
    </w:p>
    <w:p w14:paraId="3ED3CE34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obliczenie podstawy opodatkowania,</w:t>
      </w:r>
    </w:p>
    <w:p w14:paraId="5E9A6633" w14:textId="77777777" w:rsidR="00B305FD" w:rsidRPr="00B305FD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305FD">
        <w:rPr>
          <w:rStyle w:val="text-justify"/>
          <w:rFonts w:ascii="Arial" w:hAnsi="Arial" w:cs="Arial"/>
          <w:sz w:val="20"/>
          <w:szCs w:val="20"/>
        </w:rPr>
        <w:t>kalkulacja podatku,</w:t>
      </w:r>
    </w:p>
    <w:p w14:paraId="644F8D0A" w14:textId="77777777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zadeklarowanie zobowiązania podatkowego,</w:t>
      </w:r>
    </w:p>
    <w:p w14:paraId="5AE2A2A8" w14:textId="105AB815" w:rsidR="00B305FD" w:rsidRPr="008C2933" w:rsidRDefault="00B305FD" w:rsidP="009A100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C2933">
        <w:rPr>
          <w:rStyle w:val="text-justify"/>
          <w:rFonts w:ascii="Arial" w:hAnsi="Arial" w:cs="Arial"/>
          <w:sz w:val="20"/>
          <w:szCs w:val="20"/>
        </w:rPr>
        <w:t>zapłata podatku</w:t>
      </w:r>
      <w:r w:rsidR="00DD7AB0">
        <w:rPr>
          <w:rStyle w:val="text-justify"/>
          <w:rFonts w:ascii="Arial" w:hAnsi="Arial" w:cs="Arial"/>
          <w:sz w:val="20"/>
          <w:szCs w:val="20"/>
        </w:rPr>
        <w:t>.</w:t>
      </w:r>
    </w:p>
    <w:p w14:paraId="497639B8" w14:textId="77777777" w:rsidR="00DE0115" w:rsidRPr="00DE0115" w:rsidRDefault="00DE0115" w:rsidP="00DE0115">
      <w:pPr>
        <w:spacing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bookmarkStart w:id="14" w:name="_Toc70604524"/>
      <w:r w:rsidRPr="00DE0115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Procedury dotyczące podatków</w:t>
      </w:r>
    </w:p>
    <w:p w14:paraId="441A2FC7" w14:textId="77777777" w:rsidR="00D067EA" w:rsidRPr="00B47E25" w:rsidRDefault="00D067EA" w:rsidP="00B47E25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B47E25">
        <w:rPr>
          <w:rStyle w:val="text-justify"/>
          <w:rFonts w:ascii="Arial" w:hAnsi="Arial" w:cs="Arial"/>
          <w:sz w:val="20"/>
          <w:szCs w:val="20"/>
        </w:rPr>
        <w:t>Spółka dba o 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>przestrzeganie określonych prawem reguł postępowania lub obowiązków podatkowych.</w:t>
      </w:r>
      <w:r w:rsidRPr="00B47E25">
        <w:rPr>
          <w:rStyle w:val="text-justify"/>
          <w:rFonts w:ascii="Arial" w:hAnsi="Arial" w:cs="Arial"/>
          <w:sz w:val="20"/>
          <w:szCs w:val="20"/>
        </w:rPr>
        <w:t xml:space="preserve"> W odniesieniu do części obszarów Spółka przygotowała i wdrożyła lub planuje wdrożyć formalne procedury zapewniające</w:t>
      </w:r>
      <w:r w:rsidRPr="00B47E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47E25">
        <w:rPr>
          <w:rFonts w:ascii="Arial" w:hAnsi="Arial" w:cs="Arial"/>
          <w:color w:val="222222"/>
          <w:sz w:val="20"/>
          <w:szCs w:val="20"/>
          <w:shd w:val="clear" w:color="auto" w:fill="FFFFFF"/>
        </w:rPr>
        <w:t>dochowania należytej staranności w obszarze prawa podatkowego.</w:t>
      </w:r>
    </w:p>
    <w:p w14:paraId="1D76B6CE" w14:textId="6F32164A" w:rsidR="00DE0115" w:rsidRDefault="00DE0115" w:rsidP="00DE0115">
      <w:pPr>
        <w:spacing w:after="300" w:line="360" w:lineRule="auto"/>
        <w:jc w:val="both"/>
        <w:rPr>
          <w:lang w:eastAsia="pl-PL"/>
        </w:rPr>
      </w:pPr>
      <w:r w:rsidRPr="00DE0115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System zarządzania ryzykiem podatkowym i kontroli podatkowej</w:t>
      </w:r>
    </w:p>
    <w:p w14:paraId="6E4FBA6D" w14:textId="77777777" w:rsidR="00DE0115" w:rsidRP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Ramy prawa podatkowego w zglobalizowanym biznesie podlegają regularnym zmianom i często są złożone. Potrzeba interpretacji i wykładni ze strony urzędów i kierownictwa Spółki niesie ze sobą nieodłączne ryzyko.</w:t>
      </w:r>
    </w:p>
    <w:p w14:paraId="4E299131" w14:textId="682C957C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LOT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AMS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wykazuje niską skłonność do podejmowania ryzyka w zakresie podatków. Systemy i kontrole, a także zadania i zasoby zarządzania podatkami zostały skonstruowane w taki sposób, aby umożliwiały przestrzeganie przepisów i regulacji podatkowych.</w:t>
      </w:r>
    </w:p>
    <w:p w14:paraId="1076BC2B" w14:textId="18057456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Ryzyko podlega regularnej analizie i jest ograniczane przy użyciu odpowiednich środków. W tym celu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 xml:space="preserve">osoby odpowiedzialne za kalkulację zobowiązań podatkowych 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>pozostaj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w stałym kontakcie ze wszystkimi jednostkami biznesowymi Spółki. W razie potrzeby korzysta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ją</w:t>
      </w: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 z profesjonalnych usług zewnętrznych doradców podatkowych.</w:t>
      </w:r>
    </w:p>
    <w:p w14:paraId="0EAB5869" w14:textId="2C9995AA" w:rsidR="00DE0115" w:rsidRDefault="00DE0115" w:rsidP="00DE011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0115">
        <w:rPr>
          <w:rFonts w:ascii="Arial" w:hAnsi="Arial" w:cs="Arial"/>
          <w:color w:val="000000"/>
          <w:sz w:val="20"/>
          <w:szCs w:val="20"/>
          <w:lang w:eastAsia="pl-PL"/>
        </w:rPr>
        <w:t xml:space="preserve">Obowiązki podatkowe wypełniane są przez wyznaczonych do tego pracowników Spółki, którzy zapewniają ich stosowanie i przekazywanie wiedzy (m.in. poprzez sprawowanie kontroli, wyznaczanie wytycznych lub organizowanie szkoleń). 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Wiedza pracowników jest aktualizowana poprzez udział w</w:t>
      </w:r>
      <w:r w:rsidR="00A66F85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D27F49">
        <w:rPr>
          <w:rFonts w:ascii="Arial" w:hAnsi="Arial" w:cs="Arial"/>
          <w:color w:val="000000"/>
          <w:sz w:val="20"/>
          <w:szCs w:val="20"/>
          <w:lang w:eastAsia="pl-PL"/>
        </w:rPr>
        <w:t>corocznych szkoleniach z zakresu przepisów podatkowych orgaznizowanych przez profesjonalne podmioty</w:t>
      </w:r>
      <w:r w:rsidR="006D184D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5DEFA196" w14:textId="208994C7" w:rsidR="000E7F8E" w:rsidRDefault="009D4579" w:rsidP="009C1DF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t>Dobrowolne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form</w:t>
      </w:r>
      <w:r>
        <w:rPr>
          <w:rFonts w:ascii="Arial" w:hAnsi="Arial"/>
          <w:b/>
          <w:smallCaps/>
          <w:color w:val="012169"/>
          <w:sz w:val="22"/>
          <w:szCs w:val="22"/>
        </w:rPr>
        <w:t>y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 xml:space="preserve"> współpracy z </w:t>
      </w:r>
      <w:r w:rsidR="00920D3E">
        <w:rPr>
          <w:rFonts w:ascii="Arial" w:hAnsi="Arial"/>
          <w:b/>
          <w:smallCaps/>
          <w:color w:val="012169"/>
          <w:sz w:val="22"/>
          <w:szCs w:val="22"/>
        </w:rPr>
        <w:t>o</w:t>
      </w:r>
      <w:r w:rsidR="000E7F8E" w:rsidRPr="008F5A36">
        <w:rPr>
          <w:rFonts w:ascii="Arial" w:hAnsi="Arial"/>
          <w:b/>
          <w:smallCaps/>
          <w:color w:val="012169"/>
          <w:sz w:val="22"/>
          <w:szCs w:val="22"/>
        </w:rPr>
        <w:t>rganami Krajowej Administracji Skarbowej</w:t>
      </w:r>
      <w:bookmarkEnd w:id="14"/>
    </w:p>
    <w:p w14:paraId="2BDB3517" w14:textId="69750EA5" w:rsidR="0003663F" w:rsidRDefault="00A9718C" w:rsidP="00BC29BF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1 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li. 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 Ustawy o CIT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F17B90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stosowanych przez podatnika</w:t>
      </w:r>
      <w:r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: b) 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dobrowolnych formach </w:t>
      </w:r>
      <w:r w:rsidR="007E5DE5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</w:t>
      </w:r>
      <w:r w:rsidR="009D4579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spółpracy </w:t>
      </w:r>
      <w:r w:rsidR="009C1DF1" w:rsidRPr="009C1DF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organami Krajowej Administracji Skarbowej</w:t>
      </w:r>
      <w:r w:rsidR="00BC29BF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0A3E5F56" w14:textId="4EDE41E7" w:rsidR="001A78F2" w:rsidRDefault="00057AE7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-listitemtext"/>
          <w:rFonts w:ascii="Arial" w:hAnsi="Arial" w:cs="Arial"/>
          <w:color w:val="000000"/>
          <w:sz w:val="20"/>
          <w:szCs w:val="20"/>
        </w:rPr>
        <w:t>LOT</w:t>
      </w:r>
      <w:r w:rsidR="00B165BF">
        <w:rPr>
          <w:rStyle w:val="a-listitemtext"/>
          <w:rFonts w:ascii="Arial" w:hAnsi="Arial" w:cs="Arial"/>
          <w:color w:val="000000"/>
          <w:sz w:val="20"/>
          <w:szCs w:val="20"/>
        </w:rPr>
        <w:t>AMS</w:t>
      </w:r>
      <w:r w:rsidR="00DE0282">
        <w:rPr>
          <w:rStyle w:val="a-listitemtext"/>
          <w:rFonts w:ascii="Arial" w:hAnsi="Arial" w:cs="Arial"/>
          <w:color w:val="000000"/>
          <w:sz w:val="20"/>
          <w:szCs w:val="20"/>
        </w:rPr>
        <w:t xml:space="preserve"> przy prowadzeniu działalności</w:t>
      </w:r>
      <w:r w:rsidR="00277E49">
        <w:rPr>
          <w:rStyle w:val="a-listitemtext"/>
          <w:rFonts w:ascii="Arial" w:hAnsi="Arial" w:cs="Arial"/>
          <w:color w:val="000000"/>
          <w:sz w:val="20"/>
          <w:szCs w:val="20"/>
        </w:rPr>
        <w:t xml:space="preserve"> 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 xml:space="preserve">dobrowolnie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współpracuje z organami </w:t>
      </w:r>
      <w:r w:rsidR="001B0FE5">
        <w:rPr>
          <w:rStyle w:val="a-listitemtext"/>
          <w:rFonts w:ascii="Arial" w:hAnsi="Arial" w:cs="Arial"/>
          <w:color w:val="000000"/>
          <w:sz w:val="20"/>
          <w:szCs w:val="20"/>
        </w:rPr>
        <w:t xml:space="preserve">Krajowej Administracji Skarbowej 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>podczas</w:t>
      </w:r>
      <w:r w:rsidR="000878A4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czynności sprawdzających oraz</w:t>
      </w:r>
      <w:r w:rsidR="00E864F0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kontroli</w:t>
      </w:r>
      <w:r w:rsidR="002172A8">
        <w:rPr>
          <w:rStyle w:val="a-listitemtext"/>
          <w:rFonts w:ascii="Arial" w:hAnsi="Arial" w:cs="Arial"/>
          <w:color w:val="000000"/>
          <w:sz w:val="20"/>
          <w:szCs w:val="20"/>
        </w:rPr>
        <w:t>,</w:t>
      </w:r>
      <w:r w:rsidR="00685EDC" w:rsidRPr="00685EDC">
        <w:rPr>
          <w:rStyle w:val="a-listitemtext"/>
          <w:rFonts w:ascii="Arial" w:hAnsi="Arial" w:cs="Arial"/>
          <w:color w:val="000000"/>
          <w:sz w:val="20"/>
          <w:szCs w:val="20"/>
        </w:rPr>
        <w:t xml:space="preserve"> w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ykazując się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pr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tym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otwartością i chęcią współpracy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5EDC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jak również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dostarczając 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terminowo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wszystki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32F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wyjaśnienia oraz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wymagan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76B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>informacj</w:t>
      </w:r>
      <w:r w:rsidR="0009454C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B098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B7544" w:rsidRPr="00685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E609A78" w14:textId="2E71EB4B" w:rsidR="00B256C6" w:rsidRDefault="00B256C6" w:rsidP="00F2389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Spółka w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oku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odatkowy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nie podejmowała </w:t>
      </w:r>
      <w:r w:rsidR="001705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formalnych </w:t>
      </w:r>
      <w:r w:rsidR="00440A20">
        <w:rPr>
          <w:rFonts w:ascii="Arial" w:hAnsi="Arial" w:cs="Arial"/>
          <w:color w:val="000000"/>
          <w:sz w:val="20"/>
          <w:szCs w:val="20"/>
          <w:shd w:val="clear" w:color="auto" w:fill="FFFFFF"/>
        </w:rPr>
        <w:t>dobrowolnych form współpracy z organami Krajowej Administracji Skarbowej</w:t>
      </w:r>
      <w:r w:rsidR="006A74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(m.in. nie uczestniczyła w </w:t>
      </w:r>
      <w:r w:rsidR="00EB3F5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Programie Współdziałania).</w:t>
      </w:r>
    </w:p>
    <w:p w14:paraId="459CB827" w14:textId="35A92636" w:rsidR="00FA518B" w:rsidRPr="001B0FE5" w:rsidRDefault="009774FB" w:rsidP="00FA518B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5" w:name="_Toc70604525"/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Realizacja obowiązków podatkowych, w tym </w:t>
      </w:r>
      <w:r w:rsidR="001B0FE5" w:rsidRPr="001B0FE5">
        <w:rPr>
          <w:rFonts w:ascii="Arial" w:hAnsi="Arial"/>
          <w:b/>
          <w:smallCaps/>
          <w:color w:val="012169"/>
          <w:sz w:val="18"/>
          <w:szCs w:val="18"/>
        </w:rPr>
        <w:t xml:space="preserve">PRZEKAZYWANIE </w:t>
      </w:r>
      <w:r w:rsidR="001B0FE5">
        <w:rPr>
          <w:rFonts w:ascii="Arial" w:hAnsi="Arial"/>
          <w:b/>
          <w:smallCaps/>
          <w:color w:val="012169"/>
          <w:sz w:val="18"/>
          <w:szCs w:val="18"/>
        </w:rPr>
        <w:t>I</w:t>
      </w:r>
      <w:r w:rsidRPr="001B0FE5">
        <w:rPr>
          <w:rFonts w:ascii="Arial" w:hAnsi="Arial"/>
          <w:b/>
          <w:smallCaps/>
          <w:color w:val="012169"/>
          <w:sz w:val="22"/>
          <w:szCs w:val="22"/>
        </w:rPr>
        <w:t>nformac</w:t>
      </w:r>
      <w:r w:rsidR="001B0FE5">
        <w:rPr>
          <w:rFonts w:ascii="Arial" w:hAnsi="Arial"/>
          <w:b/>
          <w:smallCaps/>
          <w:color w:val="012169"/>
          <w:sz w:val="18"/>
          <w:szCs w:val="18"/>
        </w:rPr>
        <w:t>JI</w:t>
      </w:r>
      <w:r w:rsidRPr="001B0FE5">
        <w:rPr>
          <w:rFonts w:ascii="Arial" w:hAnsi="Arial"/>
          <w:b/>
          <w:smallCaps/>
          <w:color w:val="012169"/>
          <w:sz w:val="22"/>
          <w:szCs w:val="22"/>
        </w:rPr>
        <w:t xml:space="preserve"> o schematach podatkowych</w:t>
      </w:r>
      <w:bookmarkEnd w:id="15"/>
    </w:p>
    <w:p w14:paraId="7A74D833" w14:textId="6F1E00A3" w:rsidR="00297BF9" w:rsidRPr="00260750" w:rsidRDefault="00FA518B" w:rsidP="00260750">
      <w:pPr>
        <w:spacing w:line="240" w:lineRule="auto"/>
        <w:ind w:left="1701" w:hanging="1701"/>
        <w:jc w:val="both"/>
        <w:rPr>
          <w:rStyle w:val="text-justify"/>
        </w:rPr>
      </w:pP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art. 27c ust. 2 pkt </w:t>
      </w:r>
      <w:r w:rsidR="00297BF9"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2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C42D8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odnośnie do realizacji przez podatnika obowiązków podatkowych na terytorium Rzeczypospolitej Polskiej, wraz z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informacją o liczbie przekazanych Szefowi Krajowej Administracji Skarbowej informacji o schematach podatkowych, o których mowa w art. 86a §</w:t>
      </w:r>
      <w:r w:rsidR="00452FA2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1 pkt 10 Ordynacji podatkow</w:t>
      </w:r>
      <w:r w:rsidR="0043707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ej</w:t>
      </w:r>
      <w:r w:rsidR="00297BF9" w:rsidRP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, z podziałem na podatki, których dotyczą</w:t>
      </w:r>
      <w:r w:rsidR="0026075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70BDB983" w14:textId="034CF57E" w:rsidR="000969E1" w:rsidRPr="00277E49" w:rsidRDefault="000969E1" w:rsidP="00277E49">
      <w:pPr>
        <w:spacing w:before="240" w:line="360" w:lineRule="auto"/>
        <w:jc w:val="both"/>
        <w:rPr>
          <w:rStyle w:val="text-justify"/>
          <w:rFonts w:ascii="Arial" w:hAnsi="Arial" w:cs="Arial"/>
          <w:i/>
          <w:iCs/>
          <w:sz w:val="20"/>
          <w:szCs w:val="20"/>
          <w:u w:val="single"/>
        </w:rPr>
      </w:pPr>
      <w:r w:rsidRPr="00277E49">
        <w:rPr>
          <w:rStyle w:val="text-justify"/>
          <w:rFonts w:ascii="Arial" w:hAnsi="Arial" w:cs="Arial"/>
          <w:i/>
          <w:iCs/>
          <w:sz w:val="20"/>
          <w:szCs w:val="20"/>
          <w:u w:val="single"/>
        </w:rPr>
        <w:t>Realizacja obowiązków podatkowych na terytorium RP</w:t>
      </w:r>
    </w:p>
    <w:p w14:paraId="7092A54E" w14:textId="7927CFA5" w:rsidR="009774FB" w:rsidRPr="008D6947" w:rsidRDefault="009774FB" w:rsidP="009774FB">
      <w:p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 xml:space="preserve">W </w:t>
      </w:r>
      <w:r w:rsidR="0017055E">
        <w:rPr>
          <w:rStyle w:val="text-justify"/>
          <w:rFonts w:ascii="Arial" w:hAnsi="Arial" w:cs="Arial"/>
          <w:sz w:val="20"/>
          <w:szCs w:val="20"/>
        </w:rPr>
        <w:t>R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oku </w:t>
      </w:r>
      <w:r w:rsidR="0017055E">
        <w:rPr>
          <w:rStyle w:val="text-justify"/>
          <w:rFonts w:ascii="Arial" w:hAnsi="Arial" w:cs="Arial"/>
          <w:sz w:val="20"/>
          <w:szCs w:val="20"/>
        </w:rPr>
        <w:t>P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odatkowym </w:t>
      </w:r>
      <w:r w:rsidR="00740928">
        <w:rPr>
          <w:rStyle w:val="text-justify"/>
          <w:rFonts w:ascii="Arial" w:hAnsi="Arial" w:cs="Arial"/>
          <w:sz w:val="20"/>
          <w:szCs w:val="20"/>
        </w:rPr>
        <w:t>Spółka</w:t>
      </w:r>
      <w:r w:rsidRPr="008D6947">
        <w:rPr>
          <w:rStyle w:val="text-justify"/>
          <w:rFonts w:ascii="Arial" w:hAnsi="Arial" w:cs="Arial"/>
          <w:sz w:val="20"/>
          <w:szCs w:val="20"/>
        </w:rPr>
        <w:t xml:space="preserve">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realizował</w:t>
      </w:r>
      <w:r w:rsidR="00740928">
        <w:rPr>
          <w:rStyle w:val="text-justify"/>
          <w:rFonts w:ascii="Arial" w:hAnsi="Arial" w:cs="Arial"/>
          <w:sz w:val="20"/>
          <w:szCs w:val="20"/>
        </w:rPr>
        <w:t xml:space="preserve">a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 xml:space="preserve">obowiązki podatkowe w odniesieniu </w:t>
      </w:r>
      <w:r w:rsidR="000F71DA">
        <w:rPr>
          <w:rStyle w:val="text-justify"/>
          <w:rFonts w:ascii="Arial" w:hAnsi="Arial" w:cs="Arial"/>
          <w:sz w:val="20"/>
          <w:szCs w:val="20"/>
        </w:rPr>
        <w:t xml:space="preserve">m.in. </w:t>
      </w:r>
      <w:r w:rsidR="008D6947" w:rsidRPr="008D6947">
        <w:rPr>
          <w:rStyle w:val="text-justify"/>
          <w:rFonts w:ascii="Arial" w:hAnsi="Arial" w:cs="Arial"/>
          <w:sz w:val="20"/>
          <w:szCs w:val="20"/>
        </w:rPr>
        <w:t>do następujących podatków</w:t>
      </w:r>
      <w:r w:rsidRPr="008D6947">
        <w:rPr>
          <w:rStyle w:val="text-justify"/>
          <w:rFonts w:ascii="Arial" w:hAnsi="Arial" w:cs="Arial"/>
          <w:sz w:val="20"/>
          <w:szCs w:val="20"/>
        </w:rPr>
        <w:t>:</w:t>
      </w:r>
    </w:p>
    <w:p w14:paraId="44DCA1D7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dochodowy od osób prawnych,</w:t>
      </w:r>
    </w:p>
    <w:p w14:paraId="5F397C5C" w14:textId="77777777" w:rsidR="009774FB" w:rsidRPr="008D6947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lastRenderedPageBreak/>
        <w:t>podatek dochodowy od osób fizycznych,</w:t>
      </w:r>
    </w:p>
    <w:p w14:paraId="3B64CBA9" w14:textId="476708EA" w:rsidR="009774FB" w:rsidRDefault="009774FB" w:rsidP="009774FB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8D6947">
        <w:rPr>
          <w:rStyle w:val="text-justify"/>
          <w:rFonts w:ascii="Arial" w:hAnsi="Arial" w:cs="Arial"/>
          <w:sz w:val="20"/>
          <w:szCs w:val="20"/>
        </w:rPr>
        <w:t>podatek od towarów i usług,</w:t>
      </w:r>
    </w:p>
    <w:p w14:paraId="61A2BDC9" w14:textId="4CA56AB5" w:rsidR="00A3535D" w:rsidRDefault="00A3535D" w:rsidP="00A3535D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podatek u źródła,</w:t>
      </w:r>
    </w:p>
    <w:p w14:paraId="1AD65DE1" w14:textId="77777777" w:rsidR="00AB2DC7" w:rsidRDefault="00AB2DC7" w:rsidP="00AB2DC7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</w:rPr>
      </w:pPr>
      <w:r w:rsidRPr="000366A1">
        <w:rPr>
          <w:rStyle w:val="text-justify"/>
          <w:rFonts w:ascii="Arial" w:hAnsi="Arial" w:cs="Arial"/>
          <w:sz w:val="20"/>
          <w:szCs w:val="20"/>
        </w:rPr>
        <w:t>podatek od nieruchomości,</w:t>
      </w:r>
    </w:p>
    <w:p w14:paraId="485E7607" w14:textId="38F5BA7E" w:rsidR="00AB2DC7" w:rsidRDefault="000366A1" w:rsidP="006E3C84">
      <w:pPr>
        <w:pStyle w:val="Akapitzlist"/>
        <w:numPr>
          <w:ilvl w:val="0"/>
          <w:numId w:val="8"/>
        </w:numPr>
        <w:spacing w:line="360" w:lineRule="auto"/>
        <w:jc w:val="both"/>
        <w:rPr>
          <w:rStyle w:val="text-justify"/>
          <w:rFonts w:ascii="Arial" w:hAnsi="Arial" w:cs="Arial"/>
          <w:sz w:val="20"/>
          <w:szCs w:val="20"/>
          <w:lang w:eastAsia="pl-PL"/>
        </w:rPr>
      </w:pPr>
      <w:r w:rsidRPr="00AB2DC7">
        <w:rPr>
          <w:rStyle w:val="text-justify"/>
          <w:rFonts w:ascii="Arial" w:hAnsi="Arial" w:cs="Arial"/>
          <w:sz w:val="20"/>
          <w:szCs w:val="20"/>
        </w:rPr>
        <w:t>cło</w:t>
      </w:r>
      <w:r w:rsidR="0029365B">
        <w:rPr>
          <w:rStyle w:val="text-justify"/>
          <w:rFonts w:ascii="Arial" w:hAnsi="Arial" w:cs="Arial"/>
          <w:sz w:val="20"/>
          <w:szCs w:val="20"/>
        </w:rPr>
        <w:t>.</w:t>
      </w:r>
    </w:p>
    <w:p w14:paraId="274AC8BB" w14:textId="77777777" w:rsidR="005C34C9" w:rsidRPr="005C34C9" w:rsidRDefault="005C34C9" w:rsidP="005C34C9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C34C9">
        <w:rPr>
          <w:rFonts w:ascii="Arial" w:hAnsi="Arial" w:cs="Arial"/>
          <w:sz w:val="20"/>
          <w:szCs w:val="20"/>
          <w:lang w:eastAsia="pl-PL"/>
        </w:rPr>
        <w:t>Spółka reguluje należności podatkowe oraz składa niezbędne deklaracje  w termiach ustawowych.</w:t>
      </w:r>
    </w:p>
    <w:p w14:paraId="6CE56CE7" w14:textId="197F67F6" w:rsidR="00007FD7" w:rsidRPr="00B3025A" w:rsidRDefault="00007FD7" w:rsidP="00B3025A">
      <w:pPr>
        <w:autoSpaceDE w:val="0"/>
        <w:autoSpaceDN w:val="0"/>
        <w:spacing w:before="24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Informacje o schematach podatkowych</w:t>
      </w:r>
      <w:r w:rsidR="00DB703B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, o kt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órych mowa w </w:t>
      </w:r>
      <w:r w:rsidR="001C222D" w:rsidRPr="00D66924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art. 86a § 1 pkt 10</w:t>
      </w:r>
      <w:r w:rsidR="001C222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437072" w:rsidRPr="00277E49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Ordynacji podatkowej</w:t>
      </w:r>
      <w:r w:rsidR="00437072" w:rsidRPr="00277E49">
        <w:rPr>
          <w:rStyle w:val="Odwoanieprzypisudolnego"/>
          <w:rFonts w:ascii="Arial" w:hAnsi="Arial" w:cs="Arial"/>
          <w:i/>
          <w:iCs/>
          <w:sz w:val="20"/>
          <w:szCs w:val="20"/>
          <w:u w:val="single"/>
          <w:lang w:eastAsia="pl-PL"/>
        </w:rPr>
        <w:footnoteReference w:id="3"/>
      </w:r>
    </w:p>
    <w:p w14:paraId="266BE06E" w14:textId="42E4D493" w:rsidR="0056223A" w:rsidRDefault="00212A1A" w:rsidP="007F03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 2022 roku </w:t>
      </w:r>
      <w:r w:rsidR="00675455">
        <w:rPr>
          <w:rFonts w:ascii="Arial" w:hAnsi="Arial" w:cs="Arial"/>
          <w:sz w:val="20"/>
          <w:szCs w:val="20"/>
          <w:lang w:eastAsia="pl-PL"/>
        </w:rPr>
        <w:t>LOT</w:t>
      </w:r>
      <w:r w:rsidR="00665E4A">
        <w:rPr>
          <w:rFonts w:ascii="Arial" w:hAnsi="Arial" w:cs="Arial"/>
          <w:sz w:val="20"/>
          <w:szCs w:val="20"/>
          <w:lang w:eastAsia="pl-PL"/>
        </w:rPr>
        <w:t>AMS</w:t>
      </w:r>
      <w:r w:rsidR="002B49F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01B8E" w:rsidRPr="00763C74">
        <w:rPr>
          <w:rFonts w:ascii="Arial" w:hAnsi="Arial" w:cs="Arial"/>
          <w:sz w:val="20"/>
          <w:szCs w:val="20"/>
          <w:lang w:eastAsia="pl-PL"/>
        </w:rPr>
        <w:t xml:space="preserve">w swojej działalności </w:t>
      </w:r>
      <w:r>
        <w:rPr>
          <w:rFonts w:ascii="Arial" w:hAnsi="Arial" w:cs="Arial"/>
          <w:sz w:val="20"/>
          <w:szCs w:val="20"/>
          <w:lang w:eastAsia="pl-PL"/>
        </w:rPr>
        <w:t>zidentyfikował i zgłosił dwa schematy podatkowe Schematy zostały zaraportowane i otrzymały poniższe numery: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</w:tblGrid>
      <w:tr w:rsidR="002B2C79" w:rsidRPr="002B2C79" w14:paraId="3DDA9B6F" w14:textId="77777777" w:rsidTr="002B2C79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B84" w14:textId="77777777" w:rsidR="002B2C79" w:rsidRPr="002B2C79" w:rsidRDefault="002B2C79" w:rsidP="002B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2C79">
              <w:rPr>
                <w:rFonts w:ascii="Calibri" w:eastAsia="Times New Roman" w:hAnsi="Calibri" w:cs="Calibri"/>
                <w:color w:val="000000"/>
                <w:lang w:eastAsia="pl-PL"/>
              </w:rPr>
              <w:t>MDR6065721/22</w:t>
            </w:r>
          </w:p>
        </w:tc>
      </w:tr>
      <w:tr w:rsidR="002B2C79" w:rsidRPr="002B2C79" w14:paraId="6CD9D7BB" w14:textId="77777777" w:rsidTr="002B2C79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B0F" w14:textId="77777777" w:rsidR="002B2C79" w:rsidRPr="002B2C79" w:rsidRDefault="002B2C79" w:rsidP="002B2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2C79">
              <w:rPr>
                <w:rFonts w:ascii="Calibri" w:eastAsia="Times New Roman" w:hAnsi="Calibri" w:cs="Calibri"/>
                <w:color w:val="000000"/>
                <w:lang w:eastAsia="pl-PL"/>
              </w:rPr>
              <w:t>MDR8994933/22</w:t>
            </w:r>
          </w:p>
        </w:tc>
      </w:tr>
    </w:tbl>
    <w:p w14:paraId="1E7408E3" w14:textId="77777777" w:rsidR="00212A1A" w:rsidRDefault="00212A1A" w:rsidP="007F03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03CA158" w14:textId="600793CC" w:rsidR="003F590C" w:rsidRPr="002D4A11" w:rsidRDefault="003F590C" w:rsidP="00A44475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D4A11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2D4A11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2D4A1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2D4A11">
        <w:rPr>
          <w:rFonts w:ascii="Arial" w:hAnsi="Arial" w:cs="Arial"/>
          <w:b/>
          <w:bCs/>
          <w:sz w:val="20"/>
          <w:szCs w:val="20"/>
        </w:rPr>
        <w:fldChar w:fldCharType="end"/>
      </w:r>
      <w:r w:rsidRPr="002D4A11">
        <w:rPr>
          <w:rFonts w:ascii="Arial" w:hAnsi="Arial" w:cs="Arial"/>
          <w:b/>
          <w:bCs/>
          <w:sz w:val="20"/>
          <w:szCs w:val="20"/>
        </w:rPr>
        <w:t xml:space="preserve"> Wykaz </w:t>
      </w:r>
      <w:r w:rsidRPr="00CC2DA9">
        <w:rPr>
          <w:rFonts w:ascii="Arial" w:hAnsi="Arial" w:cs="Arial"/>
          <w:b/>
          <w:bCs/>
          <w:color w:val="44546A"/>
          <w:sz w:val="20"/>
          <w:szCs w:val="20"/>
        </w:rPr>
        <w:t>formularzy</w:t>
      </w:r>
      <w:r w:rsidRPr="002D4A11">
        <w:rPr>
          <w:rFonts w:ascii="Arial" w:hAnsi="Arial" w:cs="Arial"/>
          <w:b/>
          <w:bCs/>
          <w:sz w:val="20"/>
          <w:szCs w:val="20"/>
        </w:rPr>
        <w:t xml:space="preserve"> MDR</w:t>
      </w:r>
      <w:r w:rsidR="00C4518C">
        <w:rPr>
          <w:rFonts w:ascii="Arial" w:hAnsi="Arial" w:cs="Arial"/>
          <w:b/>
          <w:bCs/>
          <w:sz w:val="20"/>
          <w:szCs w:val="20"/>
        </w:rPr>
        <w:t xml:space="preserve"> przekazanych Szefowi KAS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48"/>
        <w:gridCol w:w="2547"/>
      </w:tblGrid>
      <w:tr w:rsidR="00A409A6" w:rsidRPr="0075642D" w14:paraId="4244A189" w14:textId="652341EC" w:rsidTr="00A409A6">
        <w:trPr>
          <w:trHeight w:val="454"/>
          <w:jc w:val="center"/>
        </w:trPr>
        <w:tc>
          <w:tcPr>
            <w:tcW w:w="1089" w:type="pct"/>
            <w:shd w:val="clear" w:color="auto" w:fill="002060"/>
            <w:vAlign w:val="center"/>
          </w:tcPr>
          <w:p w14:paraId="7C95BA8F" w14:textId="25F52082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Formularz</w:t>
            </w:r>
          </w:p>
        </w:tc>
        <w:tc>
          <w:tcPr>
            <w:tcW w:w="2506" w:type="pct"/>
            <w:shd w:val="clear" w:color="auto" w:fill="002060"/>
            <w:vAlign w:val="center"/>
          </w:tcPr>
          <w:p w14:paraId="17230D31" w14:textId="2772E9B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Strona składająca</w:t>
            </w:r>
          </w:p>
        </w:tc>
        <w:tc>
          <w:tcPr>
            <w:tcW w:w="1404" w:type="pct"/>
            <w:shd w:val="clear" w:color="auto" w:fill="002060"/>
            <w:vAlign w:val="center"/>
          </w:tcPr>
          <w:p w14:paraId="36BDD36A" w14:textId="3A522160" w:rsidR="00A409A6" w:rsidRPr="0075642D" w:rsidRDefault="00A409A6" w:rsidP="00EB58C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przekazanych informacji</w:t>
            </w:r>
          </w:p>
        </w:tc>
      </w:tr>
      <w:tr w:rsidR="00A409A6" w:rsidRPr="0075642D" w14:paraId="4197F8B4" w14:textId="171DD139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A992BC5" w14:textId="5EE54B1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30E023" w14:textId="313F1AC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Korzystający, promotor,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B1361B3" w14:textId="5FBBD74E" w:rsidR="00A409A6" w:rsidRPr="0075642D" w:rsidRDefault="00212A1A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409A6" w:rsidRPr="0075642D" w14:paraId="08681738" w14:textId="268B380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741EDAA0" w14:textId="3F5C56E2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MDR-2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01D24F82" w14:textId="099F6923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  <w:p w14:paraId="5EB6134D" w14:textId="542DF30E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objęci tajemnicą zawodową)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A0F4F76" w14:textId="0652D4DD" w:rsidR="00A409A6" w:rsidRPr="0075642D" w:rsidRDefault="00A409A6" w:rsidP="00046F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0B099F6E" w14:textId="1DF93B96" w:rsidTr="00A409A6">
        <w:trPr>
          <w:trHeight w:val="826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1B626E9C" w14:textId="78FC74B7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MDR-3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2A3A23B3" w14:textId="5F62B77F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Korzystający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3785961" w14:textId="3E476AC8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09A6" w:rsidRPr="0075642D" w14:paraId="3D8EEBD1" w14:textId="4F4DE0C2" w:rsidTr="00A409A6">
        <w:trPr>
          <w:trHeight w:val="454"/>
          <w:jc w:val="center"/>
        </w:trPr>
        <w:tc>
          <w:tcPr>
            <w:tcW w:w="1089" w:type="pct"/>
            <w:shd w:val="clear" w:color="auto" w:fill="auto"/>
            <w:vAlign w:val="center"/>
          </w:tcPr>
          <w:p w14:paraId="0A71B7CB" w14:textId="5D1AAD20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MDR-4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7A49D85" w14:textId="47878A9C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Promotor lub wspomagający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13BC8B1" w14:textId="10F7104D" w:rsidR="00A409A6" w:rsidRPr="0075642D" w:rsidRDefault="00A409A6" w:rsidP="00EB58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5642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57B30092" w14:textId="2B35B101" w:rsidR="00230D27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6" w:name="_Toc70604526"/>
      <w:r>
        <w:rPr>
          <w:rFonts w:ascii="Arial" w:hAnsi="Arial"/>
          <w:b/>
          <w:smallCaps/>
          <w:color w:val="012169"/>
          <w:sz w:val="22"/>
          <w:szCs w:val="22"/>
        </w:rPr>
        <w:t>Transakcje zawierane z podmiotami powiązanymi</w:t>
      </w:r>
      <w:bookmarkEnd w:id="16"/>
    </w:p>
    <w:p w14:paraId="146CA1F1" w14:textId="2FFC6D49" w:rsidR="00521CF5" w:rsidRPr="00C4518C" w:rsidRDefault="00DF2CB0" w:rsidP="00C4518C">
      <w:pPr>
        <w:spacing w:line="240" w:lineRule="auto"/>
        <w:ind w:left="1701" w:hanging="1701"/>
        <w:jc w:val="both"/>
        <w:rPr>
          <w:rStyle w:val="text-justify"/>
        </w:rPr>
      </w:pP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</w:t>
      </w:r>
      <w:r w:rsidR="00F17B90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3</w:t>
      </w:r>
      <w:r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a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="00265803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a)</w:t>
      </w:r>
      <w:r w:rsidR="002D0095" w:rsidRPr="002D0095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transakcjach z</w:t>
      </w:r>
      <w:r w:rsidR="002D009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powiązanymi w rozumieniu art. 11a ust. 1 pkt 4, których wartość przekracza 5% sumy bilansowej aktywów w rozumieniu przepisów o rachunkowośc</w:t>
      </w:r>
      <w:r w:rsidR="00DB703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</w:t>
      </w:r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, ustalonych na podstawie ostatniego zatwierdzonego sprawozdania finansowego spółki, w tym </w:t>
      </w:r>
      <w:bookmarkStart w:id="17" w:name="_Hlk70601580"/>
      <w:r w:rsidR="00521CF5" w:rsidRPr="00343380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podmiotami niebędącymi rezydentami podatkowymi Rzeczypospolitej Polskiej</w:t>
      </w:r>
      <w:bookmarkEnd w:id="17"/>
      <w:r w:rsidR="00F70EB1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14B671D6" w14:textId="27D9EDAF" w:rsidR="00BF365B" w:rsidRDefault="007C7F5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365B">
        <w:rPr>
          <w:rFonts w:ascii="Arial" w:hAnsi="Arial" w:cs="Arial"/>
          <w:sz w:val="20"/>
          <w:szCs w:val="20"/>
        </w:rPr>
        <w:t xml:space="preserve">Suma bilansowa </w:t>
      </w:r>
      <w:r w:rsidR="00A21D58" w:rsidRPr="00BF365B">
        <w:rPr>
          <w:rFonts w:ascii="Arial" w:hAnsi="Arial" w:cs="Arial"/>
          <w:sz w:val="20"/>
          <w:szCs w:val="20"/>
        </w:rPr>
        <w:t>LOT</w:t>
      </w:r>
      <w:r w:rsidR="00F20B40" w:rsidRPr="00BF365B">
        <w:rPr>
          <w:rFonts w:ascii="Arial" w:hAnsi="Arial" w:cs="Arial"/>
          <w:sz w:val="20"/>
          <w:szCs w:val="20"/>
        </w:rPr>
        <w:t>AMS</w:t>
      </w:r>
      <w:r w:rsidR="003A3EFF" w:rsidRPr="00BF365B">
        <w:rPr>
          <w:rFonts w:ascii="Arial" w:hAnsi="Arial" w:cs="Arial"/>
          <w:sz w:val="20"/>
          <w:szCs w:val="20"/>
        </w:rPr>
        <w:t xml:space="preserve"> </w:t>
      </w:r>
      <w:r w:rsidRPr="00BF365B">
        <w:rPr>
          <w:rFonts w:ascii="Arial" w:hAnsi="Arial" w:cs="Arial"/>
          <w:sz w:val="20"/>
          <w:szCs w:val="20"/>
        </w:rPr>
        <w:t xml:space="preserve">na dzień 31 grudnia </w:t>
      </w:r>
      <w:r w:rsidR="002B2C79">
        <w:rPr>
          <w:rFonts w:ascii="Arial" w:hAnsi="Arial" w:cs="Arial"/>
          <w:sz w:val="20"/>
          <w:szCs w:val="20"/>
        </w:rPr>
        <w:t xml:space="preserve">2022 </w:t>
      </w:r>
      <w:r w:rsidRPr="00BF365B">
        <w:rPr>
          <w:rFonts w:ascii="Arial" w:hAnsi="Arial" w:cs="Arial"/>
          <w:sz w:val="20"/>
          <w:szCs w:val="20"/>
        </w:rPr>
        <w:t xml:space="preserve"> r. wyniosła</w:t>
      </w:r>
      <w:r w:rsidR="00A113EB" w:rsidRPr="00BF365B">
        <w:rPr>
          <w:rFonts w:ascii="Arial" w:hAnsi="Arial" w:cs="Arial"/>
          <w:sz w:val="20"/>
          <w:szCs w:val="20"/>
        </w:rPr>
        <w:t xml:space="preserve"> </w:t>
      </w:r>
      <w:r w:rsidR="002B2C79">
        <w:rPr>
          <w:rFonts w:ascii="Arial" w:hAnsi="Arial" w:cs="Arial"/>
          <w:sz w:val="20"/>
          <w:szCs w:val="20"/>
        </w:rPr>
        <w:t xml:space="preserve">349 595 160,09 </w:t>
      </w:r>
      <w:r w:rsidR="00A113EB" w:rsidRPr="00BF365B">
        <w:rPr>
          <w:rFonts w:ascii="Arial" w:hAnsi="Arial" w:cs="Arial"/>
          <w:sz w:val="20"/>
          <w:szCs w:val="20"/>
        </w:rPr>
        <w:t xml:space="preserve">zł. Tym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samym</w:t>
      </w:r>
      <w:r w:rsidR="00A940B2" w:rsidRPr="00BF36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w 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informacj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o stosowanej strategii podatkowej 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 xml:space="preserve">Spółka zobowiązana jest wykazać </w:t>
      </w:r>
      <w:r w:rsidR="00E57183" w:rsidRPr="00BF365B">
        <w:rPr>
          <w:rFonts w:ascii="Arial" w:eastAsia="Times New Roman" w:hAnsi="Arial" w:cs="Arial"/>
          <w:sz w:val="20"/>
          <w:szCs w:val="20"/>
          <w:lang w:eastAsia="pl-PL"/>
        </w:rPr>
        <w:t>te transakcje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8E69B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podmiotami powiązanymi, których wartość </w:t>
      </w:r>
      <w:r w:rsidR="009530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F365B">
        <w:rPr>
          <w:rFonts w:ascii="Arial" w:eastAsia="Times New Roman" w:hAnsi="Arial" w:cs="Arial"/>
          <w:sz w:val="20"/>
          <w:szCs w:val="20"/>
          <w:lang w:eastAsia="pl-PL"/>
        </w:rPr>
        <w:t>przekroczyła</w:t>
      </w:r>
      <w:r w:rsidR="00BF365B" w:rsidRPr="00BF36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2C79">
        <w:rPr>
          <w:rFonts w:ascii="Arial" w:eastAsia="Times New Roman" w:hAnsi="Arial" w:cs="Arial"/>
          <w:sz w:val="20"/>
          <w:szCs w:val="20"/>
          <w:lang w:eastAsia="pl-PL"/>
        </w:rPr>
        <w:t xml:space="preserve">17 479 758 </w:t>
      </w:r>
      <w:r w:rsidR="00BF36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zł.</w:t>
      </w:r>
    </w:p>
    <w:p w14:paraId="276B8A3F" w14:textId="05A21F83" w:rsidR="00E40C71" w:rsidRDefault="00E40C71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Wartość transakcji </w:t>
      </w:r>
      <w:r w:rsidR="00FE12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podmiotami powiązanymi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określona została na podstawie art. 11</w:t>
      </w:r>
      <w:r w:rsidR="0030707C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 ust. 4 i </w:t>
      </w:r>
      <w:r w:rsidR="00EB5BB1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oraz art. 11l Ustawy o CIT</w:t>
      </w:r>
      <w:r w:rsidR="0067597A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9FA242" w14:textId="77777777" w:rsidR="00A66F85" w:rsidRDefault="00A66F85" w:rsidP="00BF365B">
      <w:pPr>
        <w:spacing w:before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DF9FDB" w14:textId="72976ED6" w:rsidR="00461027" w:rsidRPr="00461027" w:rsidRDefault="00461027" w:rsidP="00BF365B">
      <w:pPr>
        <w:spacing w:before="24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46102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Transakcje z podmiotami powiązanymi</w:t>
      </w:r>
    </w:p>
    <w:p w14:paraId="0472A263" w14:textId="0509C702" w:rsidR="00B34B14" w:rsidRDefault="00B6565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 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1179E7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odatkowym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Spółka zawierała</w:t>
      </w:r>
      <w:r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transakcj</w:t>
      </w:r>
      <w:r w:rsidR="008A08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CC2DA9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</w:t>
      </w:r>
      <w:r w:rsidR="00692CD6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powiązany</w:t>
      </w:r>
      <w:r w:rsidR="003658E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5E30C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których wartość przekracza 5% sumy bilansowej aktywów </w:t>
      </w:r>
      <w:r w:rsidR="005E30CB" w:rsidRPr="002F770B">
        <w:rPr>
          <w:rFonts w:ascii="Arial" w:hAnsi="Arial" w:cs="Arial"/>
          <w:sz w:val="20"/>
          <w:szCs w:val="20"/>
        </w:rPr>
        <w:t>w rozumieniu przepisów o rachunkowości</w:t>
      </w:r>
      <w:r w:rsidR="005E30CB" w:rsidRPr="002F770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E30CB">
        <w:rPr>
          <w:rFonts w:ascii="Arial" w:hAnsi="Arial" w:cs="Arial"/>
          <w:sz w:val="20"/>
          <w:szCs w:val="20"/>
        </w:rPr>
        <w:t xml:space="preserve">,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Lini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Lotnicz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</w:t>
      </w:r>
      <w:r w:rsidR="002F770B" w:rsidRPr="002F77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„LOT” S.A.</w:t>
      </w:r>
      <w:r w:rsidR="005E30C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ECEE258" w14:textId="006B24F1" w:rsidR="00B51E9F" w:rsidRPr="00B51E9F" w:rsidRDefault="00B51E9F" w:rsidP="00B51E9F">
      <w:pPr>
        <w:pStyle w:val="Legenda"/>
        <w:keepNext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E9F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51E9F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51E9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51E9F">
        <w:rPr>
          <w:rFonts w:ascii="Arial" w:hAnsi="Arial" w:cs="Arial"/>
          <w:b/>
          <w:bCs/>
          <w:noProof/>
          <w:sz w:val="20"/>
          <w:szCs w:val="20"/>
        </w:rPr>
        <w:t>3</w:t>
      </w:r>
      <w:r w:rsidRPr="00B51E9F">
        <w:rPr>
          <w:rFonts w:ascii="Arial" w:hAnsi="Arial" w:cs="Arial"/>
          <w:b/>
          <w:bCs/>
          <w:sz w:val="20"/>
          <w:szCs w:val="20"/>
        </w:rPr>
        <w:fldChar w:fldCharType="end"/>
      </w:r>
      <w:r w:rsidRPr="00B51E9F">
        <w:rPr>
          <w:rFonts w:ascii="Arial" w:hAnsi="Arial" w:cs="Arial"/>
          <w:b/>
          <w:bCs/>
          <w:sz w:val="20"/>
          <w:szCs w:val="20"/>
        </w:rPr>
        <w:t xml:space="preserve"> Zestawienie transakcji z podmiotem powiązanym, których wartość przekracza 5% sumy bilansowej aktywó</w:t>
      </w:r>
      <w:r w:rsidR="00D878EE">
        <w:rPr>
          <w:rFonts w:ascii="Arial" w:hAnsi="Arial" w:cs="Arial"/>
          <w:b/>
          <w:bCs/>
          <w:sz w:val="20"/>
          <w:szCs w:val="20"/>
        </w:rPr>
        <w:t>w LOT AMS</w:t>
      </w:r>
      <w:r w:rsidR="009E4B49">
        <w:rPr>
          <w:rFonts w:ascii="Arial" w:hAnsi="Arial" w:cs="Arial"/>
          <w:b/>
          <w:bCs/>
          <w:sz w:val="20"/>
          <w:szCs w:val="20"/>
        </w:rPr>
        <w:t xml:space="preserve"> (pozycje dotyczą należności LOT AMS)</w:t>
      </w:r>
    </w:p>
    <w:tbl>
      <w:tblPr>
        <w:tblW w:w="5479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5"/>
        <w:gridCol w:w="8194"/>
      </w:tblGrid>
      <w:tr w:rsidR="002D7A12" w:rsidRPr="00D672AE" w14:paraId="11F0259F" w14:textId="77777777" w:rsidTr="00117942">
        <w:trPr>
          <w:trHeight w:val="618"/>
        </w:trPr>
        <w:tc>
          <w:tcPr>
            <w:tcW w:w="785" w:type="pct"/>
            <w:shd w:val="clear" w:color="auto" w:fill="002060"/>
            <w:vAlign w:val="center"/>
          </w:tcPr>
          <w:p w14:paraId="6FB0FDDC" w14:textId="6ACE6CF2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Kontrahent</w:t>
            </w:r>
          </w:p>
        </w:tc>
        <w:tc>
          <w:tcPr>
            <w:tcW w:w="93" w:type="pct"/>
            <w:shd w:val="clear" w:color="auto" w:fill="002060"/>
          </w:tcPr>
          <w:p w14:paraId="0BBA59BC" w14:textId="77777777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4123" w:type="pct"/>
            <w:shd w:val="clear" w:color="auto" w:fill="002060"/>
            <w:noWrap/>
            <w:vAlign w:val="center"/>
            <w:hideMark/>
          </w:tcPr>
          <w:p w14:paraId="34D09B8B" w14:textId="5BB00B9C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Rodzaj transakcji</w:t>
            </w:r>
          </w:p>
        </w:tc>
      </w:tr>
      <w:tr w:rsidR="002D7A12" w:rsidRPr="00D672AE" w14:paraId="57C975A0" w14:textId="77777777" w:rsidTr="00117942">
        <w:trPr>
          <w:trHeight w:val="983"/>
        </w:trPr>
        <w:tc>
          <w:tcPr>
            <w:tcW w:w="785" w:type="pct"/>
            <w:vAlign w:val="center"/>
          </w:tcPr>
          <w:p w14:paraId="20D05126" w14:textId="1D9B5E1E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Linie Lotnicze „LOT” S.A.</w:t>
            </w:r>
          </w:p>
        </w:tc>
        <w:tc>
          <w:tcPr>
            <w:tcW w:w="93" w:type="pct"/>
          </w:tcPr>
          <w:p w14:paraId="398448B7" w14:textId="77777777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3" w:type="pct"/>
            <w:shd w:val="clear" w:color="auto" w:fill="auto"/>
            <w:noWrap/>
            <w:vAlign w:val="center"/>
            <w:hideMark/>
          </w:tcPr>
          <w:p w14:paraId="44DFF6F7" w14:textId="6E801AE1" w:rsidR="002D7A12" w:rsidRPr="00D672AE" w:rsidRDefault="002D7A12" w:rsidP="00A17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D672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wiadczenie usług obsługi technicznej samolotów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usług magazynowania części lotniczych, usług zarządzania dokumentacją techniczną, dzierżawa nieruchomości</w:t>
            </w:r>
          </w:p>
        </w:tc>
      </w:tr>
      <w:tr w:rsidR="002D7A12" w:rsidRPr="00D672AE" w14:paraId="71E25A2F" w14:textId="77777777" w:rsidTr="00117942">
        <w:trPr>
          <w:trHeight w:val="454"/>
        </w:trPr>
        <w:tc>
          <w:tcPr>
            <w:tcW w:w="785" w:type="pct"/>
            <w:vAlign w:val="center"/>
          </w:tcPr>
          <w:p w14:paraId="4979D87A" w14:textId="77777777" w:rsidR="002D7A12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DFE89C" w14:textId="77777777" w:rsidR="002D7A12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37E6D" w14:textId="74107EDD" w:rsidR="002D7A12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 Grupa Lotnicza S.A</w:t>
            </w:r>
          </w:p>
          <w:p w14:paraId="412A05B2" w14:textId="77777777" w:rsidR="002D7A12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F20AEE" w14:textId="77777777" w:rsidR="002D7A12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D8747" w14:textId="77777777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" w:type="pct"/>
          </w:tcPr>
          <w:p w14:paraId="7C8AB850" w14:textId="77777777" w:rsidR="002D7A12" w:rsidRPr="00D672AE" w:rsidRDefault="002D7A12" w:rsidP="009D1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3" w:type="pct"/>
            <w:shd w:val="clear" w:color="auto" w:fill="auto"/>
            <w:noWrap/>
            <w:vAlign w:val="center"/>
          </w:tcPr>
          <w:p w14:paraId="2E1B8C4E" w14:textId="49E7E485" w:rsidR="002D7A12" w:rsidRPr="00D672AE" w:rsidRDefault="00A178C2" w:rsidP="00117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="002D7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aciąg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nięcie pożyczki </w:t>
            </w:r>
            <w:r w:rsidR="002D7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r w:rsidR="002D7A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 serwiso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</w:p>
        </w:tc>
      </w:tr>
    </w:tbl>
    <w:p w14:paraId="42A50665" w14:textId="6AACCAC1" w:rsidR="007A6CAD" w:rsidRPr="001818FB" w:rsidRDefault="007A6CAD" w:rsidP="007A6CAD">
      <w:pPr>
        <w:spacing w:before="24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1818FB">
        <w:rPr>
          <w:rFonts w:ascii="Arial" w:hAnsi="Arial" w:cs="Arial"/>
          <w:i/>
          <w:iCs/>
          <w:sz w:val="20"/>
          <w:szCs w:val="20"/>
          <w:u w:val="single"/>
        </w:rPr>
        <w:t xml:space="preserve">Transakcje z </w:t>
      </w:r>
      <w:r>
        <w:rPr>
          <w:rFonts w:ascii="Arial" w:hAnsi="Arial" w:cs="Arial"/>
          <w:i/>
          <w:iCs/>
          <w:sz w:val="20"/>
          <w:szCs w:val="20"/>
          <w:u w:val="single"/>
        </w:rPr>
        <w:t>podmiotami powiązanymi niebędącymi rezydentami podatkowymi RP</w:t>
      </w:r>
    </w:p>
    <w:p w14:paraId="64F99F4B" w14:textId="4CC27629" w:rsidR="009E2E06" w:rsidRPr="00215A33" w:rsidRDefault="00B34B14" w:rsidP="00B34B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867CEB">
        <w:rPr>
          <w:rFonts w:ascii="Arial" w:hAnsi="Arial" w:cs="Arial"/>
          <w:sz w:val="20"/>
          <w:szCs w:val="20"/>
        </w:rPr>
        <w:t>R</w:t>
      </w:r>
      <w:r w:rsidR="006348AC" w:rsidRPr="000A4C22">
        <w:rPr>
          <w:rFonts w:ascii="Arial" w:hAnsi="Arial" w:cs="Arial"/>
          <w:sz w:val="20"/>
          <w:szCs w:val="20"/>
        </w:rPr>
        <w:t xml:space="preserve">oku </w:t>
      </w:r>
      <w:r w:rsidR="00867CEB">
        <w:rPr>
          <w:rFonts w:ascii="Arial" w:hAnsi="Arial" w:cs="Arial"/>
          <w:sz w:val="20"/>
          <w:szCs w:val="20"/>
        </w:rPr>
        <w:t>P</w:t>
      </w:r>
      <w:r w:rsidR="006348AC" w:rsidRPr="000A4C22">
        <w:rPr>
          <w:rFonts w:ascii="Arial" w:hAnsi="Arial" w:cs="Arial"/>
          <w:sz w:val="20"/>
          <w:szCs w:val="20"/>
        </w:rPr>
        <w:t xml:space="preserve">odatkowym Spółka </w:t>
      </w:r>
      <w:r w:rsidR="00215A33">
        <w:rPr>
          <w:rFonts w:ascii="Arial" w:hAnsi="Arial" w:cs="Arial"/>
          <w:sz w:val="20"/>
          <w:szCs w:val="20"/>
        </w:rPr>
        <w:t xml:space="preserve">nie </w:t>
      </w:r>
      <w:r w:rsidR="006348AC" w:rsidRPr="000A4C22">
        <w:rPr>
          <w:rFonts w:ascii="Arial" w:hAnsi="Arial" w:cs="Arial"/>
          <w:sz w:val="20"/>
          <w:szCs w:val="20"/>
        </w:rPr>
        <w:t>zawierała</w:t>
      </w:r>
      <w:r w:rsidR="00AD404C">
        <w:rPr>
          <w:rStyle w:val="Odwoaniedokomentarza"/>
        </w:rPr>
        <w:t xml:space="preserve"> </w:t>
      </w:r>
      <w:r w:rsidR="006348AC" w:rsidRPr="000A4C22">
        <w:rPr>
          <w:rFonts w:ascii="Arial" w:hAnsi="Arial" w:cs="Arial"/>
          <w:sz w:val="20"/>
          <w:szCs w:val="20"/>
        </w:rPr>
        <w:t>transakcj</w:t>
      </w:r>
      <w:r w:rsidR="00215A33">
        <w:rPr>
          <w:rFonts w:ascii="Arial" w:hAnsi="Arial" w:cs="Arial"/>
          <w:sz w:val="20"/>
          <w:szCs w:val="20"/>
        </w:rPr>
        <w:t>i</w:t>
      </w:r>
      <w:r w:rsidR="00331D6E" w:rsidRPr="00331D6E">
        <w:rPr>
          <w:rFonts w:ascii="Arial" w:hAnsi="Arial" w:cs="Arial"/>
          <w:sz w:val="20"/>
          <w:szCs w:val="20"/>
        </w:rPr>
        <w:t xml:space="preserve"> </w:t>
      </w:r>
      <w:r w:rsidR="00331D6E">
        <w:rPr>
          <w:rFonts w:ascii="Arial" w:hAnsi="Arial" w:cs="Arial"/>
          <w:sz w:val="20"/>
          <w:szCs w:val="20"/>
        </w:rPr>
        <w:t xml:space="preserve">z </w:t>
      </w:r>
      <w:r w:rsidR="00331D6E" w:rsidRPr="000A4C22">
        <w:rPr>
          <w:rFonts w:ascii="Arial" w:hAnsi="Arial" w:cs="Arial"/>
          <w:sz w:val="20"/>
          <w:szCs w:val="20"/>
        </w:rPr>
        <w:t>podmiotami</w:t>
      </w:r>
      <w:r w:rsidR="00331D6E">
        <w:rPr>
          <w:rFonts w:ascii="Arial" w:hAnsi="Arial" w:cs="Arial"/>
          <w:sz w:val="20"/>
          <w:szCs w:val="20"/>
        </w:rPr>
        <w:t xml:space="preserve"> powiązanymi</w:t>
      </w:r>
      <w:r w:rsidR="00331D6E" w:rsidRPr="000A4C22">
        <w:rPr>
          <w:rFonts w:ascii="Arial" w:hAnsi="Arial" w:cs="Arial"/>
          <w:sz w:val="20"/>
          <w:szCs w:val="20"/>
        </w:rPr>
        <w:t xml:space="preserve"> niebędącymi rezydentami podatkowymi Rzeczypospolitej Polskiej</w:t>
      </w:r>
      <w:r w:rsidR="006348AC" w:rsidRPr="000A4C22">
        <w:rPr>
          <w:rFonts w:ascii="Arial" w:hAnsi="Arial" w:cs="Arial"/>
          <w:sz w:val="20"/>
          <w:szCs w:val="20"/>
        </w:rPr>
        <w:t>, których wartość przekr</w:t>
      </w:r>
      <w:r w:rsidR="00867CEB">
        <w:rPr>
          <w:rFonts w:ascii="Arial" w:hAnsi="Arial" w:cs="Arial"/>
          <w:sz w:val="20"/>
          <w:szCs w:val="20"/>
        </w:rPr>
        <w:t>o</w:t>
      </w:r>
      <w:r w:rsidR="006348AC" w:rsidRPr="000A4C22">
        <w:rPr>
          <w:rFonts w:ascii="Arial" w:hAnsi="Arial" w:cs="Arial"/>
          <w:sz w:val="20"/>
          <w:szCs w:val="20"/>
        </w:rPr>
        <w:t>cz</w:t>
      </w:r>
      <w:r w:rsidR="00867CEB">
        <w:rPr>
          <w:rFonts w:ascii="Arial" w:hAnsi="Arial" w:cs="Arial"/>
          <w:sz w:val="20"/>
          <w:szCs w:val="20"/>
        </w:rPr>
        <w:t>yła</w:t>
      </w:r>
      <w:r w:rsidR="006348AC" w:rsidRPr="000A4C22">
        <w:rPr>
          <w:rFonts w:ascii="Arial" w:hAnsi="Arial" w:cs="Arial"/>
          <w:sz w:val="20"/>
          <w:szCs w:val="20"/>
        </w:rPr>
        <w:t xml:space="preserve"> 5% sumy bilansowej aktywów</w:t>
      </w:r>
      <w:r w:rsidR="00331D6E">
        <w:rPr>
          <w:rFonts w:ascii="Arial" w:hAnsi="Arial" w:cs="Arial"/>
          <w:sz w:val="20"/>
          <w:szCs w:val="20"/>
        </w:rPr>
        <w:t>.</w:t>
      </w:r>
      <w:r w:rsidR="006348AC" w:rsidRPr="000A4C22">
        <w:rPr>
          <w:rFonts w:ascii="Arial" w:hAnsi="Arial" w:cs="Arial"/>
          <w:sz w:val="20"/>
          <w:szCs w:val="20"/>
        </w:rPr>
        <w:t xml:space="preserve"> </w:t>
      </w:r>
    </w:p>
    <w:p w14:paraId="1FA15277" w14:textId="203D5D19" w:rsidR="00AC5E85" w:rsidRPr="00B63D46" w:rsidRDefault="00230D27" w:rsidP="00F70EB1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18" w:name="_Toc70604527"/>
      <w:r>
        <w:rPr>
          <w:rFonts w:ascii="Arial" w:hAnsi="Arial"/>
          <w:b/>
          <w:smallCaps/>
          <w:color w:val="012169"/>
          <w:sz w:val="22"/>
          <w:szCs w:val="22"/>
        </w:rPr>
        <w:t>Planowane lub podejmowane działania restrukturyzacyjne</w:t>
      </w:r>
      <w:bookmarkEnd w:id="18"/>
    </w:p>
    <w:p w14:paraId="26B5BF38" w14:textId="7A17E5D7" w:rsidR="00B75780" w:rsidRPr="00586B8A" w:rsidRDefault="00B75780" w:rsidP="001231FD">
      <w:pPr>
        <w:spacing w:before="240"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Podstawa prawna: </w:t>
      </w:r>
      <w:r w:rsidR="009A1007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ab/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art. 27c ust. 2 pkt 3 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lit. b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 „</w:t>
      </w:r>
      <w:r w:rsidRPr="00586B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o: b)</w:t>
      </w:r>
      <w:r w:rsidR="00586B8A" w:rsidRPr="00F70EB1">
        <w:rPr>
          <w:rStyle w:val="text-justify"/>
        </w:rPr>
        <w:t> </w:t>
      </w:r>
      <w:r w:rsidRP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planowanych lub podejmowanych przez podatnika działaniach restrukturyzacyjnych mogących mieć wpływ na wysokość zobowiązań podatkowych podatnika lub podmiotów powiązanych w rozumieniu art. 11a ust. 1 pkt 4</w:t>
      </w:r>
      <w:r w:rsidR="006348AC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495921ED" w14:textId="77777777" w:rsidR="00E669D4" w:rsidRPr="00FD5CFF" w:rsidRDefault="00E669D4" w:rsidP="00E669D4">
      <w:pPr>
        <w:spacing w:before="120" w:after="120" w:line="36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</w:pPr>
      <w:bookmarkStart w:id="19" w:name="_Hlk74750605"/>
      <w:r w:rsidRPr="00FD5CFF">
        <w:rPr>
          <w:rFonts w:ascii="Arial" w:hAnsi="Arial" w:cs="Arial"/>
          <w:i/>
          <w:iCs/>
          <w:color w:val="000000" w:themeColor="text1"/>
          <w:sz w:val="20"/>
          <w:szCs w:val="20"/>
          <w:u w:val="single"/>
          <w:lang w:eastAsia="pl-PL"/>
        </w:rPr>
        <w:t>Podejmowane działania restrukturyzacyjne</w:t>
      </w:r>
    </w:p>
    <w:bookmarkEnd w:id="19"/>
    <w:p w14:paraId="422FD3CB" w14:textId="2B5C18CC" w:rsidR="009266F0" w:rsidRPr="00777C03" w:rsidRDefault="00AD0B3D" w:rsidP="00A178C2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W </w:t>
      </w:r>
      <w:r w:rsidR="001231FD" w:rsidRPr="001231FD">
        <w:rPr>
          <w:rFonts w:ascii="Arial" w:hAnsi="Arial" w:cs="Arial"/>
          <w:color w:val="000000"/>
          <w:sz w:val="20"/>
          <w:szCs w:val="20"/>
          <w:lang w:eastAsia="pl-PL"/>
        </w:rPr>
        <w:t xml:space="preserve">Roku Podatkowym nie dokonano przeniesień pomiędzy podmiotami powiązanymi istotnych ekonomicznie funkcji, aktywów lub ryzyk, mających wpływ na dochód (stratę) LOTAMS. </w:t>
      </w:r>
      <w:bookmarkStart w:id="20" w:name="_Hlk66831070"/>
    </w:p>
    <w:p w14:paraId="4A91A163" w14:textId="30B05469" w:rsidR="00BE31D4" w:rsidRPr="00777C03" w:rsidRDefault="00BE31D4" w:rsidP="00777C03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</w:pPr>
      <w:r w:rsidRPr="00777C03"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  <w:t>Planowane działania restrukturyzacyjne</w:t>
      </w:r>
    </w:p>
    <w:p w14:paraId="05100ED7" w14:textId="3281DECE" w:rsidR="0024484D" w:rsidRDefault="0024484D" w:rsidP="00777C0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Spółka w najbliższym czasie nie planuje przeprowadzania działań restrukturyzacyjnych.</w:t>
      </w:r>
    </w:p>
    <w:p w14:paraId="221A3FCE" w14:textId="36F51311" w:rsidR="00B34870" w:rsidRPr="00FA76E2" w:rsidRDefault="00B34870" w:rsidP="00FA76E2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bookmarkStart w:id="21" w:name="_Toc70604528"/>
      <w:bookmarkEnd w:id="20"/>
      <w:r w:rsidRPr="00FA76E2">
        <w:rPr>
          <w:rFonts w:ascii="Arial" w:hAnsi="Arial"/>
          <w:b/>
          <w:smallCaps/>
          <w:color w:val="012169"/>
          <w:sz w:val="22"/>
          <w:szCs w:val="22"/>
        </w:rPr>
        <w:lastRenderedPageBreak/>
        <w:t>Katalog złożonych wniosków</w:t>
      </w:r>
      <w:bookmarkEnd w:id="21"/>
    </w:p>
    <w:p w14:paraId="11668BB2" w14:textId="64FBA697" w:rsidR="00991056" w:rsidRPr="000D06F2" w:rsidRDefault="00991056" w:rsidP="000D06F2">
      <w:pPr>
        <w:spacing w:line="240" w:lineRule="auto"/>
        <w:ind w:left="1701" w:hanging="1701"/>
        <w:jc w:val="both"/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</w:pP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t</w:t>
      </w:r>
      <w:r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3C5765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4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="00317F0B" w:rsidRPr="00317F0B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informacje o złożonych przez podatnika wnioskach o wydanie: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a)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ogólnej interpretacji podatkowej, o której mowa w art. 14a § 1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b)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interpretacji przepisów prawa podatkowego, o której mowa w art. 14b Ordynacji podatkowej,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c)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stawkowej, o której mowa w art. 42a ustawy o podatku od towarów i usług,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d)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wiążącej informacji akcyzowej, o której mowa w art. 7d ust. 1 ustawy z dnia 6 grudnia 2008 r. o podatku akcyzowym (Dz.</w:t>
      </w:r>
      <w:r w:rsidR="00317F0B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U.</w:t>
      </w:r>
      <w:r w:rsidR="00B46DAA"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 </w:t>
      </w:r>
      <w:r w:rsidRP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z 2020 r. poz. 722 i 1747)</w:t>
      </w:r>
      <w:r w:rsidR="000D06F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67A42E1" w14:textId="77777777" w:rsidR="00991056" w:rsidRDefault="00991056" w:rsidP="00EE484E">
      <w:pPr>
        <w:pStyle w:val="Akapitzlist2"/>
        <w:spacing w:after="240"/>
        <w:ind w:left="0"/>
        <w:rPr>
          <w:highlight w:val="yellow"/>
        </w:rPr>
      </w:pPr>
    </w:p>
    <w:p w14:paraId="55471FD7" w14:textId="1C98B6A1" w:rsidR="00592D42" w:rsidRPr="00592D42" w:rsidRDefault="00592D42" w:rsidP="006E554B">
      <w:pPr>
        <w:pStyle w:val="Akapitzlist2"/>
        <w:spacing w:after="240" w:line="360" w:lineRule="auto"/>
        <w:ind w:left="0"/>
        <w:rPr>
          <w:rFonts w:ascii="Arial" w:hAnsi="Arial" w:cs="Arial"/>
          <w:sz w:val="20"/>
          <w:szCs w:val="20"/>
        </w:rPr>
      </w:pPr>
      <w:r w:rsidRPr="00592D42">
        <w:rPr>
          <w:rFonts w:ascii="Arial" w:hAnsi="Arial" w:cs="Arial"/>
          <w:sz w:val="20"/>
          <w:szCs w:val="20"/>
        </w:rPr>
        <w:t xml:space="preserve">Wykaz złożonych </w:t>
      </w:r>
      <w:r w:rsidR="000D06F2">
        <w:rPr>
          <w:rFonts w:ascii="Arial" w:hAnsi="Arial" w:cs="Arial"/>
          <w:sz w:val="20"/>
          <w:szCs w:val="20"/>
        </w:rPr>
        <w:t xml:space="preserve">w roku podatkowym </w:t>
      </w:r>
      <w:r w:rsidRPr="00592D42">
        <w:rPr>
          <w:rFonts w:ascii="Arial" w:hAnsi="Arial" w:cs="Arial"/>
          <w:sz w:val="20"/>
          <w:szCs w:val="20"/>
        </w:rPr>
        <w:t>wniosków</w:t>
      </w:r>
      <w:r w:rsidR="006E554B">
        <w:rPr>
          <w:rFonts w:ascii="Arial" w:hAnsi="Arial" w:cs="Arial"/>
          <w:sz w:val="20"/>
          <w:szCs w:val="20"/>
        </w:rPr>
        <w:t xml:space="preserve">, wraz z uwzględnieniem strony składającej wniosek oraz zakres wniosku został wskazany w poniższej tabeli. </w:t>
      </w:r>
    </w:p>
    <w:p w14:paraId="179D3184" w14:textId="2C01A9D0" w:rsidR="00B34870" w:rsidRPr="00B34870" w:rsidRDefault="00B34870" w:rsidP="003F1832">
      <w:pPr>
        <w:pStyle w:val="Legenda"/>
        <w:keepNext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34870">
        <w:rPr>
          <w:rFonts w:ascii="Arial" w:hAnsi="Arial" w:cs="Arial"/>
          <w:b/>
          <w:bCs/>
          <w:sz w:val="20"/>
          <w:szCs w:val="20"/>
        </w:rPr>
        <w:t xml:space="preserve">Tabela 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B34870">
        <w:rPr>
          <w:rFonts w:ascii="Arial" w:hAnsi="Arial" w:cs="Arial"/>
          <w:b/>
          <w:bCs/>
          <w:sz w:val="20"/>
          <w:szCs w:val="20"/>
        </w:rPr>
        <w:instrText xml:space="preserve"> SEQ Tabela \* ARABIC </w:instrText>
      </w:r>
      <w:r w:rsidRPr="00B3487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51E9F">
        <w:rPr>
          <w:rFonts w:ascii="Arial" w:hAnsi="Arial" w:cs="Arial"/>
          <w:b/>
          <w:bCs/>
          <w:noProof/>
          <w:sz w:val="20"/>
          <w:szCs w:val="20"/>
        </w:rPr>
        <w:t>4</w:t>
      </w:r>
      <w:r w:rsidRPr="00B34870">
        <w:rPr>
          <w:rFonts w:ascii="Arial" w:hAnsi="Arial" w:cs="Arial"/>
          <w:b/>
          <w:bCs/>
          <w:sz w:val="20"/>
          <w:szCs w:val="20"/>
        </w:rPr>
        <w:fldChar w:fldCharType="end"/>
      </w:r>
      <w:r w:rsidRPr="00B34870">
        <w:rPr>
          <w:rFonts w:ascii="Arial" w:hAnsi="Arial" w:cs="Arial"/>
          <w:b/>
          <w:bCs/>
          <w:sz w:val="20"/>
          <w:szCs w:val="20"/>
        </w:rPr>
        <w:t xml:space="preserve"> Katalog złożonych wniosków</w:t>
      </w:r>
    </w:p>
    <w:tbl>
      <w:tblPr>
        <w:tblStyle w:val="Tabela-Siatk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1382"/>
        <w:gridCol w:w="1836"/>
        <w:gridCol w:w="3682"/>
      </w:tblGrid>
      <w:tr w:rsidR="00867CEB" w:rsidRPr="001960FE" w14:paraId="4137AA78" w14:textId="77777777" w:rsidTr="001960FE">
        <w:trPr>
          <w:trHeight w:val="454"/>
        </w:trPr>
        <w:tc>
          <w:tcPr>
            <w:tcW w:w="1196" w:type="pct"/>
            <w:shd w:val="clear" w:color="auto" w:fill="002060"/>
            <w:vAlign w:val="center"/>
          </w:tcPr>
          <w:p w14:paraId="07B26B46" w14:textId="770BF26C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Rodzaj wniosku</w:t>
            </w:r>
          </w:p>
        </w:tc>
        <w:tc>
          <w:tcPr>
            <w:tcW w:w="762" w:type="pct"/>
            <w:shd w:val="clear" w:color="auto" w:fill="002060"/>
            <w:vAlign w:val="center"/>
          </w:tcPr>
          <w:p w14:paraId="62CA0F9B" w14:textId="449484F7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Strona składająca wniosek</w:t>
            </w:r>
          </w:p>
        </w:tc>
        <w:tc>
          <w:tcPr>
            <w:tcW w:w="1012" w:type="pct"/>
            <w:shd w:val="clear" w:color="auto" w:fill="002060"/>
            <w:vAlign w:val="center"/>
          </w:tcPr>
          <w:p w14:paraId="6541151B" w14:textId="549295B6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Podatek, którego dotyczy wniosek</w:t>
            </w:r>
          </w:p>
        </w:tc>
        <w:tc>
          <w:tcPr>
            <w:tcW w:w="2030" w:type="pct"/>
            <w:shd w:val="clear" w:color="auto" w:fill="002060"/>
            <w:vAlign w:val="center"/>
          </w:tcPr>
          <w:p w14:paraId="7CC58978" w14:textId="5CA5F1FB" w:rsidR="00867CEB" w:rsidRPr="001960FE" w:rsidRDefault="00867CEB" w:rsidP="00EB4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Zakres wniosku</w:t>
            </w:r>
          </w:p>
        </w:tc>
      </w:tr>
      <w:tr w:rsidR="00867CEB" w:rsidRPr="001960FE" w14:paraId="38FC657D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0F938A66" w14:textId="4845F332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ogólnej interpretacji podatkowej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A312580" w14:textId="70D7FE7E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E06D1BA" w14:textId="186184D8" w:rsidR="00867CEB" w:rsidRPr="001960FE" w:rsidRDefault="001960FE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A786D0D" w14:textId="24806DF3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867CEB" w:rsidRPr="001960FE" w14:paraId="4915786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45CE371D" w14:textId="0717CE5A" w:rsidR="00867CEB" w:rsidRPr="001960FE" w:rsidRDefault="00867CEB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interpretacji przepisów prawa podatkowego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4D76736" w14:textId="01C6CCA1" w:rsidR="00867CEB" w:rsidRPr="001960FE" w:rsidRDefault="00E91C20" w:rsidP="00332C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26B2D9E3" w14:textId="62404BB1" w:rsidR="00867CEB" w:rsidRPr="001960FE" w:rsidRDefault="00E74DC3" w:rsidP="00E74DC3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91C20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69F51E5" w14:textId="1D224BA3" w:rsidR="00867CEB" w:rsidRPr="001960FE" w:rsidRDefault="00E91C20" w:rsidP="00B30B1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4DC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1960FE" w:rsidRPr="001960FE" w14:paraId="52FD9FA9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7B93327" w14:textId="7FA4B3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stawkowej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6EC454B" w14:textId="741F8638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6B5C3354" w14:textId="0AD4479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612B3E30" w14:textId="5B3A6C5E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53CD0182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66E309A2" w14:textId="7FB018B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wiążącej informacji akcyzowej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F573A1" w14:textId="09315045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1BF9756A" w14:textId="07F9BB6A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1961B0EC" w14:textId="52157369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059CE9B8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5595B903" w14:textId="2542DD8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Wniosek o wydanie decyzji APA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E79B67" w14:textId="2FE07FDB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79A4DEB9" w14:textId="5B149ADD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F41AD2A" w14:textId="59930E9F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  <w:tr w:rsidR="001960FE" w:rsidRPr="001960FE" w14:paraId="1DA18CC0" w14:textId="77777777" w:rsidTr="001960FE">
        <w:trPr>
          <w:trHeight w:val="454"/>
        </w:trPr>
        <w:tc>
          <w:tcPr>
            <w:tcW w:w="1196" w:type="pct"/>
            <w:shd w:val="clear" w:color="auto" w:fill="auto"/>
            <w:vAlign w:val="center"/>
          </w:tcPr>
          <w:p w14:paraId="3F64CEC6" w14:textId="1F63AB7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eastAsia="Times New Roman" w:hAnsi="Arial" w:cs="Arial"/>
                <w:sz w:val="18"/>
                <w:szCs w:val="18"/>
              </w:rPr>
              <w:t>Wnioski o wydanie innych decyzji/interpretacji mających wpływ na rozliczenia podatkowe (m.in. wniosek o wydanie opinii zabezpieczającej)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95D515B" w14:textId="2427EB21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12" w:type="pct"/>
            <w:vAlign w:val="center"/>
          </w:tcPr>
          <w:p w14:paraId="4A3B8100" w14:textId="6CD27B07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C06D837" w14:textId="090CC703" w:rsidR="001960FE" w:rsidRPr="001960FE" w:rsidRDefault="001960FE" w:rsidP="001960F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960FE">
              <w:rPr>
                <w:rFonts w:ascii="Arial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14:paraId="124E650D" w14:textId="77777777" w:rsidR="00A02F39" w:rsidRDefault="00A02F39" w:rsidP="00A02F39">
      <w:bookmarkStart w:id="22" w:name="_Toc70604529"/>
    </w:p>
    <w:p w14:paraId="36431B8C" w14:textId="77777777" w:rsidR="00A02F39" w:rsidRDefault="00A02F39">
      <w:pPr>
        <w:rPr>
          <w:rFonts w:ascii="Arial" w:eastAsia="Times New Roman" w:hAnsi="Arial" w:cs="Arial"/>
          <w:b/>
          <w:bCs/>
          <w:smallCaps/>
          <w:color w:val="012169"/>
          <w:lang w:eastAsia="pl-PL"/>
        </w:rPr>
      </w:pPr>
      <w:r>
        <w:rPr>
          <w:rFonts w:ascii="Arial" w:hAnsi="Arial"/>
          <w:b/>
          <w:smallCaps/>
          <w:color w:val="012169"/>
        </w:rPr>
        <w:br w:type="page"/>
      </w:r>
    </w:p>
    <w:p w14:paraId="18D849FA" w14:textId="64875134" w:rsidR="002F1F19" w:rsidRPr="00037EAD" w:rsidRDefault="00037EAD" w:rsidP="00037EAD">
      <w:pPr>
        <w:pStyle w:val="Nagwek3"/>
        <w:numPr>
          <w:ilvl w:val="1"/>
          <w:numId w:val="6"/>
        </w:numPr>
        <w:spacing w:line="360" w:lineRule="auto"/>
        <w:rPr>
          <w:rFonts w:ascii="Arial" w:hAnsi="Arial"/>
          <w:b/>
          <w:smallCaps/>
          <w:color w:val="012169"/>
          <w:sz w:val="22"/>
          <w:szCs w:val="22"/>
        </w:rPr>
      </w:pPr>
      <w:r>
        <w:rPr>
          <w:rFonts w:ascii="Arial" w:hAnsi="Arial"/>
          <w:b/>
          <w:smallCaps/>
          <w:color w:val="012169"/>
          <w:sz w:val="22"/>
          <w:szCs w:val="22"/>
        </w:rPr>
        <w:lastRenderedPageBreak/>
        <w:t xml:space="preserve">Rozliczenia </w:t>
      </w:r>
      <w:r w:rsidR="000C3912">
        <w:rPr>
          <w:rFonts w:ascii="Arial" w:hAnsi="Arial"/>
          <w:b/>
          <w:smallCaps/>
          <w:color w:val="012169"/>
          <w:sz w:val="22"/>
          <w:szCs w:val="22"/>
        </w:rPr>
        <w:t>podatkowe w rajach podatkowych</w:t>
      </w:r>
      <w:bookmarkEnd w:id="22"/>
    </w:p>
    <w:p w14:paraId="15BA5FF2" w14:textId="4308FE1A" w:rsidR="00E8678A" w:rsidRPr="000C3912" w:rsidRDefault="00E8678A" w:rsidP="000C3912">
      <w:pPr>
        <w:spacing w:line="240" w:lineRule="auto"/>
        <w:ind w:left="1701" w:hanging="1701"/>
        <w:jc w:val="both"/>
        <w:rPr>
          <w:rStyle w:val="text-justify"/>
        </w:rPr>
      </w:pP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Podstawa prawna: art. 27c ust. 2 pkt 5</w:t>
      </w:r>
      <w:r w:rsidR="0036039E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Ustawy o CIT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:</w:t>
      </w:r>
      <w:r w:rsidRPr="00E8678A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 </w:t>
      </w:r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„</w:t>
      </w:r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 xml:space="preserve">informacje dotyczące dokonywania rozliczeń podatkowych podatnika na terytoriach lub w krajach stosujących szkodliwą konkurencję podatkową </w:t>
      </w:r>
      <w:bookmarkStart w:id="23" w:name="_Hlk70602124"/>
      <w:r w:rsidRP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wskazanych w aktach wykonawczych wydanych na podstawie art. 11j ust. 2 i na podstawie art. 23v ust. 2 ustawy z dnia 26 lipca 1991 r. o podatku dochodowym od osób fizycznych oraz w obwieszczeniu ministra właściwego do spraw finansów publicznych wydanym na podstawie art. 86a § 10 Ordynacji podatkowej</w:t>
      </w:r>
      <w:bookmarkEnd w:id="23"/>
      <w:r w:rsidR="000C3912">
        <w:rPr>
          <w:rStyle w:val="text-justify"/>
          <w:rFonts w:ascii="Arial" w:hAnsi="Arial" w:cs="Arial"/>
          <w:i/>
          <w:iCs/>
          <w:color w:val="012169"/>
          <w:sz w:val="20"/>
          <w:szCs w:val="20"/>
        </w:rPr>
        <w:t>”</w:t>
      </w:r>
    </w:p>
    <w:p w14:paraId="2188B75E" w14:textId="07300DEC" w:rsidR="0073071B" w:rsidRPr="00C35818" w:rsidRDefault="00DC0538" w:rsidP="0073722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536AA">
        <w:rPr>
          <w:rFonts w:ascii="Arial" w:hAnsi="Arial" w:cs="Arial"/>
          <w:sz w:val="20"/>
          <w:szCs w:val="20"/>
          <w:lang w:eastAsia="pl-PL"/>
        </w:rPr>
        <w:t xml:space="preserve">W trakcie roku podatkowego, za który sporządzana jest informacja o realizowanej strategii podatkowej </w:t>
      </w:r>
      <w:r w:rsidR="00764906">
        <w:rPr>
          <w:rFonts w:ascii="Arial" w:hAnsi="Arial" w:cs="Arial"/>
          <w:sz w:val="20"/>
          <w:szCs w:val="20"/>
          <w:lang w:eastAsia="pl-PL"/>
        </w:rPr>
        <w:t>Spółka</w:t>
      </w:r>
      <w:r w:rsidR="00C3581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35818" w:rsidRPr="00C35818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>dokonywał</w:t>
      </w:r>
      <w:r w:rsidR="00764906">
        <w:rPr>
          <w:rFonts w:ascii="Arial" w:hAnsi="Arial" w:cs="Arial"/>
          <w:sz w:val="20"/>
          <w:szCs w:val="20"/>
          <w:lang w:eastAsia="pl-PL"/>
        </w:rPr>
        <w:t>a</w:t>
      </w:r>
      <w:r w:rsidR="008600D0" w:rsidRPr="00C35818">
        <w:rPr>
          <w:rFonts w:ascii="Arial" w:hAnsi="Arial" w:cs="Arial"/>
          <w:sz w:val="20"/>
          <w:szCs w:val="20"/>
          <w:lang w:eastAsia="pl-PL"/>
        </w:rPr>
        <w:t xml:space="preserve"> rozliczeń podatkowych</w:t>
      </w:r>
      <w:r w:rsidR="008600D0">
        <w:rPr>
          <w:rFonts w:ascii="Arial" w:hAnsi="Arial" w:cs="Arial"/>
          <w:sz w:val="20"/>
          <w:szCs w:val="20"/>
          <w:lang w:eastAsia="pl-PL"/>
        </w:rPr>
        <w:t xml:space="preserve"> na terytoriach lub w krajach stosujących</w:t>
      </w:r>
      <w:bookmarkEnd w:id="11"/>
      <w:bookmarkEnd w:id="12"/>
      <w:r w:rsidR="00CB392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C3912">
        <w:rPr>
          <w:rFonts w:ascii="Arial" w:hAnsi="Arial" w:cs="Arial"/>
          <w:sz w:val="20"/>
          <w:szCs w:val="20"/>
          <w:lang w:eastAsia="pl-PL"/>
        </w:rPr>
        <w:t xml:space="preserve">szkodliwą </w:t>
      </w:r>
      <w:r w:rsidR="00CB3928">
        <w:rPr>
          <w:rFonts w:ascii="Arial" w:hAnsi="Arial" w:cs="Arial"/>
          <w:sz w:val="20"/>
          <w:szCs w:val="20"/>
          <w:lang w:eastAsia="pl-PL"/>
        </w:rPr>
        <w:t>konkurencję podatkową</w:t>
      </w:r>
      <w:r w:rsidR="002255BC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wskazanych w aktach wykonawczych wydanych na podstawie art.</w:t>
      </w:r>
      <w:r w:rsidR="00F469A3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11j ust. 2 </w:t>
      </w:r>
      <w:r w:rsidR="0064359B">
        <w:rPr>
          <w:rFonts w:ascii="Arial" w:hAnsi="Arial" w:cs="Arial"/>
          <w:sz w:val="20"/>
          <w:szCs w:val="20"/>
          <w:lang w:eastAsia="pl-PL"/>
        </w:rPr>
        <w:t xml:space="preserve">Ustawy o CIT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i</w:t>
      </w:r>
      <w:r w:rsidR="008E16AE">
        <w:rPr>
          <w:rFonts w:ascii="Arial" w:hAnsi="Arial" w:cs="Arial"/>
          <w:sz w:val="20"/>
          <w:szCs w:val="20"/>
          <w:lang w:eastAsia="pl-PL"/>
        </w:rPr>
        <w:t> 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 xml:space="preserve">na podstawie art. 23v ust. 2 ustawy z dnia 26 lipca 1991 r. o podatku dochodowym od osób fizycznych </w:t>
      </w:r>
      <w:r w:rsidR="00DD4D83">
        <w:rPr>
          <w:rFonts w:ascii="Arial" w:hAnsi="Arial" w:cs="Arial"/>
          <w:sz w:val="20"/>
          <w:szCs w:val="20"/>
          <w:lang w:eastAsia="pl-PL"/>
        </w:rPr>
        <w:t xml:space="preserve">(Dz.U. z </w:t>
      </w:r>
      <w:r w:rsidR="00247267">
        <w:rPr>
          <w:rFonts w:ascii="Arial" w:hAnsi="Arial" w:cs="Arial"/>
          <w:sz w:val="20"/>
          <w:szCs w:val="20"/>
          <w:lang w:eastAsia="pl-PL"/>
        </w:rPr>
        <w:t xml:space="preserve">2022 </w:t>
      </w:r>
      <w:r w:rsidR="007C3C1D">
        <w:rPr>
          <w:rFonts w:ascii="Arial" w:hAnsi="Arial" w:cs="Arial"/>
          <w:sz w:val="20"/>
          <w:szCs w:val="20"/>
          <w:lang w:eastAsia="pl-PL"/>
        </w:rPr>
        <w:t>r., poz</w:t>
      </w:r>
      <w:r w:rsidR="00247267">
        <w:rPr>
          <w:rFonts w:ascii="Arial" w:hAnsi="Arial" w:cs="Arial"/>
          <w:sz w:val="20"/>
          <w:szCs w:val="20"/>
          <w:lang w:eastAsia="pl-PL"/>
        </w:rPr>
        <w:t xml:space="preserve"> 2647</w:t>
      </w:r>
      <w:r w:rsidR="007C3C1D">
        <w:rPr>
          <w:rFonts w:ascii="Arial" w:hAnsi="Arial" w:cs="Arial"/>
          <w:sz w:val="20"/>
          <w:szCs w:val="20"/>
          <w:lang w:eastAsia="pl-PL"/>
        </w:rPr>
        <w:t xml:space="preserve">, ze zm.) </w:t>
      </w:r>
      <w:r w:rsidR="002255BC" w:rsidRPr="002255BC">
        <w:rPr>
          <w:rFonts w:ascii="Arial" w:hAnsi="Arial" w:cs="Arial"/>
          <w:sz w:val="20"/>
          <w:szCs w:val="20"/>
          <w:lang w:eastAsia="pl-PL"/>
        </w:rPr>
        <w:t>oraz w obwieszczeniu ministra właściwego do spraw finansów publicznych wydanym na podstawie art. 86a § 10 Ordynacji podatkowej</w:t>
      </w:r>
      <w:r w:rsidR="00C35818">
        <w:rPr>
          <w:rFonts w:ascii="Arial" w:hAnsi="Arial" w:cs="Arial"/>
          <w:sz w:val="20"/>
          <w:szCs w:val="20"/>
          <w:lang w:eastAsia="pl-PL"/>
        </w:rPr>
        <w:t>.</w:t>
      </w:r>
    </w:p>
    <w:sectPr w:rsidR="0073071B" w:rsidRPr="00C35818" w:rsidSect="001E7C7C">
      <w:footerReference w:type="default" r:id="rId12"/>
      <w:pgSz w:w="11906" w:h="16838"/>
      <w:pgMar w:top="2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0F69" w14:textId="77777777" w:rsidR="00CE6928" w:rsidRDefault="00CE6928" w:rsidP="00570BEE">
      <w:pPr>
        <w:spacing w:after="0" w:line="240" w:lineRule="auto"/>
      </w:pPr>
      <w:r>
        <w:separator/>
      </w:r>
    </w:p>
  </w:endnote>
  <w:endnote w:type="continuationSeparator" w:id="0">
    <w:p w14:paraId="6D73A276" w14:textId="77777777" w:rsidR="00CE6928" w:rsidRDefault="00CE6928" w:rsidP="00570BEE">
      <w:pPr>
        <w:spacing w:after="0" w:line="240" w:lineRule="auto"/>
      </w:pPr>
      <w:r>
        <w:continuationSeparator/>
      </w:r>
    </w:p>
  </w:endnote>
  <w:endnote w:type="continuationNotice" w:id="1">
    <w:p w14:paraId="2F260E34" w14:textId="77777777" w:rsidR="00CE6928" w:rsidRDefault="00CE6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736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70E615F" w14:textId="09F81C1D" w:rsidR="008F5A36" w:rsidRPr="008C291D" w:rsidRDefault="008F5A3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291D">
          <w:rPr>
            <w:rFonts w:ascii="Arial" w:hAnsi="Arial" w:cs="Arial"/>
            <w:sz w:val="20"/>
            <w:szCs w:val="20"/>
          </w:rPr>
          <w:fldChar w:fldCharType="begin"/>
        </w:r>
        <w:r w:rsidRPr="008C291D">
          <w:rPr>
            <w:rFonts w:ascii="Arial" w:hAnsi="Arial" w:cs="Arial"/>
            <w:sz w:val="20"/>
            <w:szCs w:val="20"/>
          </w:rPr>
          <w:instrText>PAGE   \* MERGEFORMAT</w:instrText>
        </w:r>
        <w:r w:rsidRPr="008C291D">
          <w:rPr>
            <w:rFonts w:ascii="Arial" w:hAnsi="Arial" w:cs="Arial"/>
            <w:sz w:val="20"/>
            <w:szCs w:val="20"/>
          </w:rPr>
          <w:fldChar w:fldCharType="separate"/>
        </w:r>
        <w:r w:rsidRPr="008C291D">
          <w:rPr>
            <w:rFonts w:ascii="Arial" w:hAnsi="Arial" w:cs="Arial"/>
            <w:sz w:val="20"/>
            <w:szCs w:val="20"/>
          </w:rPr>
          <w:t>2</w:t>
        </w:r>
        <w:r w:rsidRPr="008C29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1D24C76" w14:textId="77777777" w:rsidR="008F5A36" w:rsidRDefault="008F5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8DBA" w14:textId="77777777" w:rsidR="00CE6928" w:rsidRDefault="00CE6928" w:rsidP="00570BEE">
      <w:pPr>
        <w:spacing w:after="0" w:line="240" w:lineRule="auto"/>
      </w:pPr>
      <w:r>
        <w:separator/>
      </w:r>
    </w:p>
  </w:footnote>
  <w:footnote w:type="continuationSeparator" w:id="0">
    <w:p w14:paraId="1471C08B" w14:textId="77777777" w:rsidR="00CE6928" w:rsidRDefault="00CE6928" w:rsidP="00570BEE">
      <w:pPr>
        <w:spacing w:after="0" w:line="240" w:lineRule="auto"/>
      </w:pPr>
      <w:r>
        <w:continuationSeparator/>
      </w:r>
    </w:p>
  </w:footnote>
  <w:footnote w:type="continuationNotice" w:id="1">
    <w:p w14:paraId="39968054" w14:textId="77777777" w:rsidR="00CE6928" w:rsidRDefault="00CE6928">
      <w:pPr>
        <w:spacing w:after="0" w:line="240" w:lineRule="auto"/>
      </w:pPr>
    </w:p>
  </w:footnote>
  <w:footnote w:id="2">
    <w:p w14:paraId="312D3F81" w14:textId="729093C7" w:rsidR="001778FC" w:rsidRPr="00993AB6" w:rsidRDefault="001778FC" w:rsidP="00993AB6">
      <w:pPr>
        <w:pStyle w:val="Tekstprzypisudolnego"/>
        <w:jc w:val="both"/>
        <w:rPr>
          <w:rFonts w:ascii="Arial" w:hAnsi="Arial" w:cs="Arial"/>
        </w:rPr>
      </w:pPr>
      <w:r w:rsidRPr="00993AB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AB6">
        <w:rPr>
          <w:rFonts w:ascii="Arial" w:hAnsi="Arial" w:cs="Arial"/>
          <w:sz w:val="18"/>
          <w:szCs w:val="18"/>
        </w:rPr>
        <w:t xml:space="preserve"> </w:t>
      </w:r>
      <w:r w:rsidR="00F12242" w:rsidRPr="00993AB6">
        <w:rPr>
          <w:rFonts w:ascii="Arial" w:hAnsi="Arial" w:cs="Arial"/>
          <w:sz w:val="18"/>
          <w:szCs w:val="18"/>
        </w:rPr>
        <w:t xml:space="preserve">Ustawa z dnia </w:t>
      </w:r>
      <w:r w:rsidR="000A5594" w:rsidRPr="00993AB6">
        <w:rPr>
          <w:rFonts w:ascii="Arial" w:hAnsi="Arial" w:cs="Arial"/>
          <w:sz w:val="18"/>
          <w:szCs w:val="18"/>
        </w:rPr>
        <w:t xml:space="preserve">15 lutego 1992 r. </w:t>
      </w:r>
      <w:r w:rsidR="006449E6" w:rsidRPr="00993AB6">
        <w:rPr>
          <w:rFonts w:ascii="Arial" w:hAnsi="Arial" w:cs="Arial"/>
          <w:sz w:val="18"/>
          <w:szCs w:val="18"/>
        </w:rPr>
        <w:t xml:space="preserve">o podatku dochodowym od osób prawnych (Dz.U. z </w:t>
      </w:r>
      <w:r w:rsidR="00212A1A">
        <w:rPr>
          <w:rFonts w:ascii="Arial" w:hAnsi="Arial" w:cs="Arial"/>
          <w:sz w:val="18"/>
          <w:szCs w:val="18"/>
        </w:rPr>
        <w:t>2022</w:t>
      </w:r>
      <w:r w:rsidR="006449E6" w:rsidRPr="00993AB6">
        <w:rPr>
          <w:rFonts w:ascii="Arial" w:hAnsi="Arial" w:cs="Arial"/>
          <w:sz w:val="18"/>
          <w:szCs w:val="18"/>
        </w:rPr>
        <w:t xml:space="preserve"> r.</w:t>
      </w:r>
      <w:r w:rsidR="00D54492">
        <w:rPr>
          <w:rFonts w:ascii="Arial" w:hAnsi="Arial" w:cs="Arial"/>
          <w:sz w:val="18"/>
          <w:szCs w:val="18"/>
        </w:rPr>
        <w:t xml:space="preserve">, </w:t>
      </w:r>
      <w:r w:rsidR="006449E6" w:rsidRPr="00993AB6">
        <w:rPr>
          <w:rFonts w:ascii="Arial" w:hAnsi="Arial" w:cs="Arial"/>
          <w:sz w:val="18"/>
          <w:szCs w:val="18"/>
        </w:rPr>
        <w:t xml:space="preserve">poz. </w:t>
      </w:r>
      <w:r w:rsidR="00212A1A">
        <w:rPr>
          <w:rFonts w:ascii="Arial" w:hAnsi="Arial" w:cs="Arial"/>
          <w:sz w:val="18"/>
          <w:szCs w:val="18"/>
        </w:rPr>
        <w:t xml:space="preserve">2587 </w:t>
      </w:r>
      <w:r w:rsidR="006449E6" w:rsidRPr="00993AB6">
        <w:rPr>
          <w:rFonts w:ascii="Arial" w:hAnsi="Arial" w:cs="Arial"/>
          <w:sz w:val="18"/>
          <w:szCs w:val="18"/>
        </w:rPr>
        <w:t>ze zm.)</w:t>
      </w:r>
    </w:p>
  </w:footnote>
  <w:footnote w:id="3">
    <w:p w14:paraId="1B0616AD" w14:textId="372622BA" w:rsidR="00437072" w:rsidRDefault="004370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9D1">
        <w:rPr>
          <w:rFonts w:ascii="Arial" w:hAnsi="Arial" w:cs="Arial"/>
          <w:sz w:val="18"/>
          <w:szCs w:val="18"/>
        </w:rPr>
        <w:t xml:space="preserve">Ustawa z dnia 29 sierpnia 1997 r. Ordynacja podatkowa (Dz.U. z </w:t>
      </w:r>
      <w:r w:rsidR="002B2C79">
        <w:rPr>
          <w:rFonts w:ascii="Arial" w:hAnsi="Arial" w:cs="Arial"/>
          <w:sz w:val="18"/>
          <w:szCs w:val="18"/>
        </w:rPr>
        <w:t>2022</w:t>
      </w:r>
      <w:r w:rsidR="00A178C2">
        <w:rPr>
          <w:rFonts w:ascii="Arial" w:hAnsi="Arial" w:cs="Arial"/>
          <w:sz w:val="18"/>
          <w:szCs w:val="18"/>
        </w:rPr>
        <w:t xml:space="preserve"> r.</w:t>
      </w:r>
      <w:r w:rsidR="002B2C79">
        <w:rPr>
          <w:rFonts w:ascii="Arial" w:hAnsi="Arial" w:cs="Arial"/>
          <w:sz w:val="18"/>
          <w:szCs w:val="18"/>
        </w:rPr>
        <w:t xml:space="preserve"> </w:t>
      </w:r>
      <w:r w:rsidR="002512C7">
        <w:rPr>
          <w:rFonts w:ascii="Arial" w:hAnsi="Arial" w:cs="Arial"/>
          <w:sz w:val="18"/>
          <w:szCs w:val="18"/>
        </w:rPr>
        <w:t xml:space="preserve"> poz..</w:t>
      </w:r>
      <w:r w:rsidR="002B2C79">
        <w:rPr>
          <w:rFonts w:ascii="Arial" w:hAnsi="Arial" w:cs="Arial"/>
          <w:sz w:val="18"/>
          <w:szCs w:val="18"/>
        </w:rPr>
        <w:t xml:space="preserve"> 2651</w:t>
      </w:r>
      <w:r w:rsidR="002512C7">
        <w:rPr>
          <w:rFonts w:ascii="Arial" w:hAnsi="Arial" w:cs="Arial"/>
          <w:sz w:val="18"/>
          <w:szCs w:val="18"/>
        </w:rPr>
        <w:t xml:space="preserve"> </w:t>
      </w:r>
      <w:r w:rsidRPr="002C79D1">
        <w:rPr>
          <w:rFonts w:ascii="Arial" w:hAnsi="Arial" w:cs="Arial"/>
          <w:sz w:val="18"/>
          <w:szCs w:val="18"/>
        </w:rPr>
        <w:t>ze zm.)</w:t>
      </w:r>
    </w:p>
  </w:footnote>
  <w:footnote w:id="4">
    <w:p w14:paraId="4BC89746" w14:textId="0BD31CB2" w:rsidR="005E30CB" w:rsidRDefault="005E30CB" w:rsidP="005E30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3D8">
        <w:rPr>
          <w:rFonts w:ascii="Arial" w:hAnsi="Arial" w:cs="Arial"/>
          <w:sz w:val="18"/>
          <w:szCs w:val="18"/>
        </w:rPr>
        <w:t>Ustawa z dnia 29 września 1994 r. o rachunkowości (Dz.U. z 20</w:t>
      </w:r>
      <w:r w:rsidR="006D184D">
        <w:rPr>
          <w:rFonts w:ascii="Arial" w:hAnsi="Arial" w:cs="Arial"/>
          <w:sz w:val="18"/>
          <w:szCs w:val="18"/>
        </w:rPr>
        <w:t>21</w:t>
      </w:r>
      <w:r w:rsidRPr="002533D8">
        <w:rPr>
          <w:rFonts w:ascii="Arial" w:hAnsi="Arial" w:cs="Arial"/>
          <w:sz w:val="18"/>
          <w:szCs w:val="18"/>
        </w:rPr>
        <w:t xml:space="preserve"> r., poz. </w:t>
      </w:r>
      <w:r w:rsidR="006D184D">
        <w:rPr>
          <w:rFonts w:ascii="Arial" w:hAnsi="Arial" w:cs="Arial"/>
          <w:sz w:val="18"/>
          <w:szCs w:val="18"/>
        </w:rPr>
        <w:t>217</w:t>
      </w:r>
      <w:r w:rsidRPr="002533D8">
        <w:rPr>
          <w:rFonts w:ascii="Arial" w:hAnsi="Arial" w:cs="Arial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330"/>
    <w:multiLevelType w:val="hybridMultilevel"/>
    <w:tmpl w:val="9D207BC8"/>
    <w:lvl w:ilvl="0" w:tplc="24844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716"/>
    <w:multiLevelType w:val="multilevel"/>
    <w:tmpl w:val="081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668F1"/>
    <w:multiLevelType w:val="multilevel"/>
    <w:tmpl w:val="42A64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E1F03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7A0110"/>
    <w:multiLevelType w:val="hybridMultilevel"/>
    <w:tmpl w:val="E74CDC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94B"/>
    <w:multiLevelType w:val="hybridMultilevel"/>
    <w:tmpl w:val="43FA41C6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98F"/>
    <w:multiLevelType w:val="hybridMultilevel"/>
    <w:tmpl w:val="D0E4325A"/>
    <w:lvl w:ilvl="0" w:tplc="60E0C5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0E0C510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1C58"/>
    <w:multiLevelType w:val="multilevel"/>
    <w:tmpl w:val="8B9EBFF8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pStyle w:val="Styl1"/>
      <w:isLgl/>
      <w:lvlText w:val="%1.%2."/>
      <w:lvlJc w:val="left"/>
      <w:pPr>
        <w:ind w:left="4973" w:hanging="720"/>
      </w:pPr>
      <w:rPr>
        <w:rFonts w:ascii="Georgia" w:hAnsi="Georgia" w:hint="default"/>
        <w:b/>
        <w:i w:val="0"/>
        <w:smallCap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CB36841"/>
    <w:multiLevelType w:val="hybridMultilevel"/>
    <w:tmpl w:val="A6102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329"/>
    <w:multiLevelType w:val="hybridMultilevel"/>
    <w:tmpl w:val="A29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7330"/>
    <w:multiLevelType w:val="hybridMultilevel"/>
    <w:tmpl w:val="92E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5324"/>
    <w:multiLevelType w:val="hybridMultilevel"/>
    <w:tmpl w:val="ACF4A8FA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5184F"/>
    <w:multiLevelType w:val="hybridMultilevel"/>
    <w:tmpl w:val="8424F3D8"/>
    <w:lvl w:ilvl="0" w:tplc="2688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43F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F765989"/>
    <w:multiLevelType w:val="multilevel"/>
    <w:tmpl w:val="2332B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Georgia" w:hAnsi="Georg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Georgia" w:hAnsi="Georgia"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757117B"/>
    <w:multiLevelType w:val="hybridMultilevel"/>
    <w:tmpl w:val="0F0815DA"/>
    <w:lvl w:ilvl="0" w:tplc="CD8E51E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61483">
    <w:abstractNumId w:val="14"/>
  </w:num>
  <w:num w:numId="2" w16cid:durableId="1046442948">
    <w:abstractNumId w:val="7"/>
  </w:num>
  <w:num w:numId="3" w16cid:durableId="870649034">
    <w:abstractNumId w:val="3"/>
  </w:num>
  <w:num w:numId="4" w16cid:durableId="2107143587">
    <w:abstractNumId w:val="4"/>
  </w:num>
  <w:num w:numId="5" w16cid:durableId="964308210">
    <w:abstractNumId w:val="13"/>
  </w:num>
  <w:num w:numId="6" w16cid:durableId="1786805914">
    <w:abstractNumId w:val="2"/>
  </w:num>
  <w:num w:numId="7" w16cid:durableId="1816680307">
    <w:abstractNumId w:val="1"/>
  </w:num>
  <w:num w:numId="8" w16cid:durableId="1787657802">
    <w:abstractNumId w:val="10"/>
  </w:num>
  <w:num w:numId="9" w16cid:durableId="1199243534">
    <w:abstractNumId w:val="5"/>
  </w:num>
  <w:num w:numId="10" w16cid:durableId="1435397445">
    <w:abstractNumId w:val="11"/>
  </w:num>
  <w:num w:numId="11" w16cid:durableId="1683359313">
    <w:abstractNumId w:val="12"/>
  </w:num>
  <w:num w:numId="12" w16cid:durableId="289289656">
    <w:abstractNumId w:val="8"/>
  </w:num>
  <w:num w:numId="13" w16cid:durableId="1440838248">
    <w:abstractNumId w:val="9"/>
  </w:num>
  <w:num w:numId="14" w16cid:durableId="1977104169">
    <w:abstractNumId w:val="15"/>
  </w:num>
  <w:num w:numId="15" w16cid:durableId="936988881">
    <w:abstractNumId w:val="0"/>
  </w:num>
  <w:num w:numId="16" w16cid:durableId="12887078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11"/>
    <w:rsid w:val="0000018B"/>
    <w:rsid w:val="00000CAF"/>
    <w:rsid w:val="00004130"/>
    <w:rsid w:val="000045CF"/>
    <w:rsid w:val="00005C0E"/>
    <w:rsid w:val="00006186"/>
    <w:rsid w:val="00007055"/>
    <w:rsid w:val="00007FD7"/>
    <w:rsid w:val="0001108A"/>
    <w:rsid w:val="00011D2D"/>
    <w:rsid w:val="00012668"/>
    <w:rsid w:val="000136EC"/>
    <w:rsid w:val="000139B1"/>
    <w:rsid w:val="00014317"/>
    <w:rsid w:val="000143AC"/>
    <w:rsid w:val="00015904"/>
    <w:rsid w:val="00015F28"/>
    <w:rsid w:val="00017413"/>
    <w:rsid w:val="00020707"/>
    <w:rsid w:val="00020817"/>
    <w:rsid w:val="00021170"/>
    <w:rsid w:val="000231F0"/>
    <w:rsid w:val="00023E55"/>
    <w:rsid w:val="00024B7D"/>
    <w:rsid w:val="00025AB2"/>
    <w:rsid w:val="000269C0"/>
    <w:rsid w:val="000301DE"/>
    <w:rsid w:val="00030F5C"/>
    <w:rsid w:val="00031EF7"/>
    <w:rsid w:val="00032029"/>
    <w:rsid w:val="00033597"/>
    <w:rsid w:val="00033CFC"/>
    <w:rsid w:val="00033FDD"/>
    <w:rsid w:val="00034B70"/>
    <w:rsid w:val="00034FF9"/>
    <w:rsid w:val="00035299"/>
    <w:rsid w:val="00035FC8"/>
    <w:rsid w:val="0003612A"/>
    <w:rsid w:val="0003619D"/>
    <w:rsid w:val="0003663F"/>
    <w:rsid w:val="000366A1"/>
    <w:rsid w:val="0003697D"/>
    <w:rsid w:val="000378D2"/>
    <w:rsid w:val="00037EAD"/>
    <w:rsid w:val="000403D3"/>
    <w:rsid w:val="00040C71"/>
    <w:rsid w:val="0004115B"/>
    <w:rsid w:val="00041EC9"/>
    <w:rsid w:val="00042663"/>
    <w:rsid w:val="000429E6"/>
    <w:rsid w:val="00042B61"/>
    <w:rsid w:val="00043EB1"/>
    <w:rsid w:val="0004582D"/>
    <w:rsid w:val="000462CF"/>
    <w:rsid w:val="000462DB"/>
    <w:rsid w:val="000464B7"/>
    <w:rsid w:val="00046B5F"/>
    <w:rsid w:val="00046FAF"/>
    <w:rsid w:val="00047B18"/>
    <w:rsid w:val="00051085"/>
    <w:rsid w:val="00051C32"/>
    <w:rsid w:val="00051E12"/>
    <w:rsid w:val="000522D7"/>
    <w:rsid w:val="0005265A"/>
    <w:rsid w:val="000541E4"/>
    <w:rsid w:val="00054950"/>
    <w:rsid w:val="00055171"/>
    <w:rsid w:val="000573C7"/>
    <w:rsid w:val="00057AE7"/>
    <w:rsid w:val="0006119A"/>
    <w:rsid w:val="000620B9"/>
    <w:rsid w:val="00064DBC"/>
    <w:rsid w:val="0006524D"/>
    <w:rsid w:val="00066EB3"/>
    <w:rsid w:val="00070E17"/>
    <w:rsid w:val="000717B1"/>
    <w:rsid w:val="00072155"/>
    <w:rsid w:val="00072E04"/>
    <w:rsid w:val="00073018"/>
    <w:rsid w:val="0007541A"/>
    <w:rsid w:val="00076778"/>
    <w:rsid w:val="00076BA9"/>
    <w:rsid w:val="00076C60"/>
    <w:rsid w:val="000807A4"/>
    <w:rsid w:val="00080FEA"/>
    <w:rsid w:val="000822A1"/>
    <w:rsid w:val="0008450B"/>
    <w:rsid w:val="00086136"/>
    <w:rsid w:val="000878A4"/>
    <w:rsid w:val="000913B1"/>
    <w:rsid w:val="00091ADB"/>
    <w:rsid w:val="00091BC4"/>
    <w:rsid w:val="00091DD6"/>
    <w:rsid w:val="00093905"/>
    <w:rsid w:val="00093FA4"/>
    <w:rsid w:val="0009454C"/>
    <w:rsid w:val="00094838"/>
    <w:rsid w:val="00094EB5"/>
    <w:rsid w:val="000951FC"/>
    <w:rsid w:val="000969E1"/>
    <w:rsid w:val="00096D9D"/>
    <w:rsid w:val="0009764D"/>
    <w:rsid w:val="000977D5"/>
    <w:rsid w:val="000A01BD"/>
    <w:rsid w:val="000A0909"/>
    <w:rsid w:val="000A0D2C"/>
    <w:rsid w:val="000A166C"/>
    <w:rsid w:val="000A1A32"/>
    <w:rsid w:val="000A1C8B"/>
    <w:rsid w:val="000A1D72"/>
    <w:rsid w:val="000A240B"/>
    <w:rsid w:val="000A2456"/>
    <w:rsid w:val="000A35DC"/>
    <w:rsid w:val="000A4C22"/>
    <w:rsid w:val="000A5594"/>
    <w:rsid w:val="000A5C80"/>
    <w:rsid w:val="000A6B80"/>
    <w:rsid w:val="000B0987"/>
    <w:rsid w:val="000B0E0E"/>
    <w:rsid w:val="000B112A"/>
    <w:rsid w:val="000B1423"/>
    <w:rsid w:val="000B144B"/>
    <w:rsid w:val="000B3315"/>
    <w:rsid w:val="000B5B66"/>
    <w:rsid w:val="000B6A71"/>
    <w:rsid w:val="000B7F55"/>
    <w:rsid w:val="000C0D8D"/>
    <w:rsid w:val="000C1044"/>
    <w:rsid w:val="000C3275"/>
    <w:rsid w:val="000C3912"/>
    <w:rsid w:val="000C46A2"/>
    <w:rsid w:val="000C52FE"/>
    <w:rsid w:val="000C57B1"/>
    <w:rsid w:val="000C5921"/>
    <w:rsid w:val="000C69DB"/>
    <w:rsid w:val="000C77C2"/>
    <w:rsid w:val="000D06F2"/>
    <w:rsid w:val="000D078F"/>
    <w:rsid w:val="000D11CC"/>
    <w:rsid w:val="000D3BB3"/>
    <w:rsid w:val="000D42F7"/>
    <w:rsid w:val="000D4B33"/>
    <w:rsid w:val="000D4F5E"/>
    <w:rsid w:val="000D75B9"/>
    <w:rsid w:val="000E132A"/>
    <w:rsid w:val="000E14FC"/>
    <w:rsid w:val="000E2242"/>
    <w:rsid w:val="000E26EB"/>
    <w:rsid w:val="000E3FFD"/>
    <w:rsid w:val="000E5D69"/>
    <w:rsid w:val="000E6071"/>
    <w:rsid w:val="000E7F8E"/>
    <w:rsid w:val="000F0332"/>
    <w:rsid w:val="000F15FC"/>
    <w:rsid w:val="000F16BB"/>
    <w:rsid w:val="000F2579"/>
    <w:rsid w:val="000F33D1"/>
    <w:rsid w:val="000F3474"/>
    <w:rsid w:val="000F5C5D"/>
    <w:rsid w:val="000F5DD4"/>
    <w:rsid w:val="000F71DA"/>
    <w:rsid w:val="00100FA3"/>
    <w:rsid w:val="00101FA1"/>
    <w:rsid w:val="0010334C"/>
    <w:rsid w:val="001040EF"/>
    <w:rsid w:val="001056AC"/>
    <w:rsid w:val="00106370"/>
    <w:rsid w:val="00106CF1"/>
    <w:rsid w:val="00107EF2"/>
    <w:rsid w:val="00107F0D"/>
    <w:rsid w:val="001104BE"/>
    <w:rsid w:val="00112801"/>
    <w:rsid w:val="00112F60"/>
    <w:rsid w:val="00113732"/>
    <w:rsid w:val="00113DA5"/>
    <w:rsid w:val="00114905"/>
    <w:rsid w:val="00117942"/>
    <w:rsid w:val="001179E7"/>
    <w:rsid w:val="00120016"/>
    <w:rsid w:val="0012121B"/>
    <w:rsid w:val="001217B7"/>
    <w:rsid w:val="00121A79"/>
    <w:rsid w:val="0012265A"/>
    <w:rsid w:val="00122FF7"/>
    <w:rsid w:val="00123067"/>
    <w:rsid w:val="001231FD"/>
    <w:rsid w:val="001234FE"/>
    <w:rsid w:val="0012412E"/>
    <w:rsid w:val="00124E86"/>
    <w:rsid w:val="00125952"/>
    <w:rsid w:val="0012659E"/>
    <w:rsid w:val="00127CE6"/>
    <w:rsid w:val="00130243"/>
    <w:rsid w:val="00130DA7"/>
    <w:rsid w:val="0013132E"/>
    <w:rsid w:val="00131B37"/>
    <w:rsid w:val="00131BB5"/>
    <w:rsid w:val="00131BC5"/>
    <w:rsid w:val="00132DD5"/>
    <w:rsid w:val="001338E2"/>
    <w:rsid w:val="00135FAA"/>
    <w:rsid w:val="0013620D"/>
    <w:rsid w:val="0013625F"/>
    <w:rsid w:val="001400FA"/>
    <w:rsid w:val="00141871"/>
    <w:rsid w:val="00142E89"/>
    <w:rsid w:val="00144A1A"/>
    <w:rsid w:val="00144E98"/>
    <w:rsid w:val="00146083"/>
    <w:rsid w:val="0014731A"/>
    <w:rsid w:val="00147B5E"/>
    <w:rsid w:val="00147C0B"/>
    <w:rsid w:val="00147D31"/>
    <w:rsid w:val="0015116D"/>
    <w:rsid w:val="00151AC2"/>
    <w:rsid w:val="00152EC4"/>
    <w:rsid w:val="0015356D"/>
    <w:rsid w:val="00154AA4"/>
    <w:rsid w:val="00156369"/>
    <w:rsid w:val="00156827"/>
    <w:rsid w:val="00156C98"/>
    <w:rsid w:val="00157F59"/>
    <w:rsid w:val="00162104"/>
    <w:rsid w:val="00162C23"/>
    <w:rsid w:val="00162FFC"/>
    <w:rsid w:val="00163D74"/>
    <w:rsid w:val="00164259"/>
    <w:rsid w:val="00164DDF"/>
    <w:rsid w:val="001653F9"/>
    <w:rsid w:val="001654B7"/>
    <w:rsid w:val="001654DB"/>
    <w:rsid w:val="00165567"/>
    <w:rsid w:val="0017055E"/>
    <w:rsid w:val="00171032"/>
    <w:rsid w:val="00172407"/>
    <w:rsid w:val="001739CD"/>
    <w:rsid w:val="00173BE1"/>
    <w:rsid w:val="00174501"/>
    <w:rsid w:val="001758FB"/>
    <w:rsid w:val="0017608C"/>
    <w:rsid w:val="0017767F"/>
    <w:rsid w:val="001778FC"/>
    <w:rsid w:val="0018021C"/>
    <w:rsid w:val="0018024F"/>
    <w:rsid w:val="00183536"/>
    <w:rsid w:val="001868C6"/>
    <w:rsid w:val="00186EF3"/>
    <w:rsid w:val="00187F07"/>
    <w:rsid w:val="00190E73"/>
    <w:rsid w:val="00192757"/>
    <w:rsid w:val="00192805"/>
    <w:rsid w:val="001932CA"/>
    <w:rsid w:val="0019399C"/>
    <w:rsid w:val="0019446D"/>
    <w:rsid w:val="00194A0D"/>
    <w:rsid w:val="001960FE"/>
    <w:rsid w:val="00197308"/>
    <w:rsid w:val="001978AD"/>
    <w:rsid w:val="001A098A"/>
    <w:rsid w:val="001A1A5F"/>
    <w:rsid w:val="001A246C"/>
    <w:rsid w:val="001A256C"/>
    <w:rsid w:val="001A4755"/>
    <w:rsid w:val="001A5C68"/>
    <w:rsid w:val="001A6BF0"/>
    <w:rsid w:val="001A7212"/>
    <w:rsid w:val="001A78F2"/>
    <w:rsid w:val="001B07F9"/>
    <w:rsid w:val="001B0984"/>
    <w:rsid w:val="001B0BC1"/>
    <w:rsid w:val="001B0FE5"/>
    <w:rsid w:val="001B1513"/>
    <w:rsid w:val="001B2987"/>
    <w:rsid w:val="001B2AA2"/>
    <w:rsid w:val="001B4D2F"/>
    <w:rsid w:val="001B7F62"/>
    <w:rsid w:val="001C0486"/>
    <w:rsid w:val="001C0611"/>
    <w:rsid w:val="001C0A7B"/>
    <w:rsid w:val="001C1C31"/>
    <w:rsid w:val="001C222D"/>
    <w:rsid w:val="001C39EC"/>
    <w:rsid w:val="001C5E9F"/>
    <w:rsid w:val="001C757C"/>
    <w:rsid w:val="001D166F"/>
    <w:rsid w:val="001D1A61"/>
    <w:rsid w:val="001D2967"/>
    <w:rsid w:val="001D3F66"/>
    <w:rsid w:val="001D5A49"/>
    <w:rsid w:val="001D5C67"/>
    <w:rsid w:val="001D6405"/>
    <w:rsid w:val="001D67F3"/>
    <w:rsid w:val="001D7A40"/>
    <w:rsid w:val="001E0B9A"/>
    <w:rsid w:val="001E2FA3"/>
    <w:rsid w:val="001E30A5"/>
    <w:rsid w:val="001E3971"/>
    <w:rsid w:val="001E40EC"/>
    <w:rsid w:val="001E41D0"/>
    <w:rsid w:val="001E58D3"/>
    <w:rsid w:val="001E6422"/>
    <w:rsid w:val="001E6F22"/>
    <w:rsid w:val="001E7C7C"/>
    <w:rsid w:val="001F1648"/>
    <w:rsid w:val="001F4033"/>
    <w:rsid w:val="001F560E"/>
    <w:rsid w:val="001F64D6"/>
    <w:rsid w:val="001F65F5"/>
    <w:rsid w:val="001F746C"/>
    <w:rsid w:val="002005A9"/>
    <w:rsid w:val="0020102F"/>
    <w:rsid w:val="00203CFA"/>
    <w:rsid w:val="002041AA"/>
    <w:rsid w:val="002060A2"/>
    <w:rsid w:val="002100BC"/>
    <w:rsid w:val="00210466"/>
    <w:rsid w:val="0021055A"/>
    <w:rsid w:val="00212A1A"/>
    <w:rsid w:val="00212A32"/>
    <w:rsid w:val="002135F0"/>
    <w:rsid w:val="00213669"/>
    <w:rsid w:val="0021385C"/>
    <w:rsid w:val="002145DE"/>
    <w:rsid w:val="00215A33"/>
    <w:rsid w:val="00216E53"/>
    <w:rsid w:val="00217289"/>
    <w:rsid w:val="002172A8"/>
    <w:rsid w:val="00217375"/>
    <w:rsid w:val="002177CB"/>
    <w:rsid w:val="00220C4A"/>
    <w:rsid w:val="00220C5E"/>
    <w:rsid w:val="00221743"/>
    <w:rsid w:val="00221D29"/>
    <w:rsid w:val="00222D71"/>
    <w:rsid w:val="00223AFB"/>
    <w:rsid w:val="002242F5"/>
    <w:rsid w:val="00224B8B"/>
    <w:rsid w:val="002255BC"/>
    <w:rsid w:val="00226B3F"/>
    <w:rsid w:val="00226B45"/>
    <w:rsid w:val="0022718C"/>
    <w:rsid w:val="002308F3"/>
    <w:rsid w:val="00230D27"/>
    <w:rsid w:val="002318CD"/>
    <w:rsid w:val="00231BE4"/>
    <w:rsid w:val="00231EDA"/>
    <w:rsid w:val="002323E6"/>
    <w:rsid w:val="0023376A"/>
    <w:rsid w:val="00236143"/>
    <w:rsid w:val="00236325"/>
    <w:rsid w:val="00237E42"/>
    <w:rsid w:val="002431A5"/>
    <w:rsid w:val="00243755"/>
    <w:rsid w:val="00244744"/>
    <w:rsid w:val="0024484D"/>
    <w:rsid w:val="0024550B"/>
    <w:rsid w:val="00245B9E"/>
    <w:rsid w:val="00247267"/>
    <w:rsid w:val="00250BAE"/>
    <w:rsid w:val="00250C88"/>
    <w:rsid w:val="002512C7"/>
    <w:rsid w:val="002533D8"/>
    <w:rsid w:val="00254F67"/>
    <w:rsid w:val="00254F9B"/>
    <w:rsid w:val="00257BB0"/>
    <w:rsid w:val="00260750"/>
    <w:rsid w:val="002611CF"/>
    <w:rsid w:val="00261B56"/>
    <w:rsid w:val="00261ED3"/>
    <w:rsid w:val="0026277C"/>
    <w:rsid w:val="00262AA4"/>
    <w:rsid w:val="00262E03"/>
    <w:rsid w:val="00265803"/>
    <w:rsid w:val="00266B8A"/>
    <w:rsid w:val="00266EE3"/>
    <w:rsid w:val="0026764A"/>
    <w:rsid w:val="00267982"/>
    <w:rsid w:val="00267D1C"/>
    <w:rsid w:val="002746EE"/>
    <w:rsid w:val="00275357"/>
    <w:rsid w:val="0027668C"/>
    <w:rsid w:val="0027727B"/>
    <w:rsid w:val="00277E49"/>
    <w:rsid w:val="00280B13"/>
    <w:rsid w:val="00281B18"/>
    <w:rsid w:val="00283F35"/>
    <w:rsid w:val="002843A2"/>
    <w:rsid w:val="002846FB"/>
    <w:rsid w:val="00286F71"/>
    <w:rsid w:val="002904B4"/>
    <w:rsid w:val="0029365B"/>
    <w:rsid w:val="00293A9D"/>
    <w:rsid w:val="00297BF9"/>
    <w:rsid w:val="002A0031"/>
    <w:rsid w:val="002A0CC1"/>
    <w:rsid w:val="002A15BE"/>
    <w:rsid w:val="002A26B5"/>
    <w:rsid w:val="002A5C4C"/>
    <w:rsid w:val="002A6400"/>
    <w:rsid w:val="002A6C05"/>
    <w:rsid w:val="002A7662"/>
    <w:rsid w:val="002A786D"/>
    <w:rsid w:val="002B2C79"/>
    <w:rsid w:val="002B49F2"/>
    <w:rsid w:val="002B4A98"/>
    <w:rsid w:val="002B51F5"/>
    <w:rsid w:val="002B76E0"/>
    <w:rsid w:val="002C0AED"/>
    <w:rsid w:val="002C0F9B"/>
    <w:rsid w:val="002C1CB3"/>
    <w:rsid w:val="002C2098"/>
    <w:rsid w:val="002C38FD"/>
    <w:rsid w:val="002C5884"/>
    <w:rsid w:val="002C7064"/>
    <w:rsid w:val="002C747D"/>
    <w:rsid w:val="002C79D1"/>
    <w:rsid w:val="002C7A00"/>
    <w:rsid w:val="002C7CCB"/>
    <w:rsid w:val="002D0095"/>
    <w:rsid w:val="002D1609"/>
    <w:rsid w:val="002D1954"/>
    <w:rsid w:val="002D218A"/>
    <w:rsid w:val="002D3183"/>
    <w:rsid w:val="002D358E"/>
    <w:rsid w:val="002D3ABE"/>
    <w:rsid w:val="002D4A11"/>
    <w:rsid w:val="002D7A0F"/>
    <w:rsid w:val="002D7A12"/>
    <w:rsid w:val="002E01A8"/>
    <w:rsid w:val="002E02C8"/>
    <w:rsid w:val="002E033E"/>
    <w:rsid w:val="002E04D9"/>
    <w:rsid w:val="002E08D2"/>
    <w:rsid w:val="002E1E0A"/>
    <w:rsid w:val="002E3C8E"/>
    <w:rsid w:val="002E5295"/>
    <w:rsid w:val="002E6646"/>
    <w:rsid w:val="002E72EA"/>
    <w:rsid w:val="002E77FA"/>
    <w:rsid w:val="002F18D3"/>
    <w:rsid w:val="002F1F19"/>
    <w:rsid w:val="002F1F2D"/>
    <w:rsid w:val="002F5969"/>
    <w:rsid w:val="002F770B"/>
    <w:rsid w:val="0030143D"/>
    <w:rsid w:val="00301B8E"/>
    <w:rsid w:val="00301CF4"/>
    <w:rsid w:val="00301E55"/>
    <w:rsid w:val="00301EF4"/>
    <w:rsid w:val="00301F1A"/>
    <w:rsid w:val="0030215F"/>
    <w:rsid w:val="00302E8B"/>
    <w:rsid w:val="00304460"/>
    <w:rsid w:val="0030707C"/>
    <w:rsid w:val="00307B8D"/>
    <w:rsid w:val="00307E16"/>
    <w:rsid w:val="00313D45"/>
    <w:rsid w:val="00313F05"/>
    <w:rsid w:val="00314DAE"/>
    <w:rsid w:val="00315C81"/>
    <w:rsid w:val="003161FC"/>
    <w:rsid w:val="003166AC"/>
    <w:rsid w:val="00317F0B"/>
    <w:rsid w:val="003228E7"/>
    <w:rsid w:val="003230E9"/>
    <w:rsid w:val="00324717"/>
    <w:rsid w:val="003258F6"/>
    <w:rsid w:val="00325BF0"/>
    <w:rsid w:val="0032653E"/>
    <w:rsid w:val="00327353"/>
    <w:rsid w:val="00327EC5"/>
    <w:rsid w:val="00331D6E"/>
    <w:rsid w:val="00332C24"/>
    <w:rsid w:val="0033350D"/>
    <w:rsid w:val="003341D7"/>
    <w:rsid w:val="00340376"/>
    <w:rsid w:val="00340454"/>
    <w:rsid w:val="003409D0"/>
    <w:rsid w:val="00340C79"/>
    <w:rsid w:val="003416C8"/>
    <w:rsid w:val="003419C5"/>
    <w:rsid w:val="003431BD"/>
    <w:rsid w:val="00343380"/>
    <w:rsid w:val="00343B9F"/>
    <w:rsid w:val="00343C25"/>
    <w:rsid w:val="00344C17"/>
    <w:rsid w:val="003461AD"/>
    <w:rsid w:val="003462A5"/>
    <w:rsid w:val="003467D3"/>
    <w:rsid w:val="00346EB4"/>
    <w:rsid w:val="00346EFB"/>
    <w:rsid w:val="0034764B"/>
    <w:rsid w:val="003510A8"/>
    <w:rsid w:val="003516E7"/>
    <w:rsid w:val="0035289C"/>
    <w:rsid w:val="00352B68"/>
    <w:rsid w:val="00353D6D"/>
    <w:rsid w:val="0035585F"/>
    <w:rsid w:val="00355FA3"/>
    <w:rsid w:val="003562AA"/>
    <w:rsid w:val="00357257"/>
    <w:rsid w:val="0035747D"/>
    <w:rsid w:val="0036039E"/>
    <w:rsid w:val="00360DDE"/>
    <w:rsid w:val="00362467"/>
    <w:rsid w:val="003631D5"/>
    <w:rsid w:val="0036348E"/>
    <w:rsid w:val="003638CC"/>
    <w:rsid w:val="00364142"/>
    <w:rsid w:val="00364DE7"/>
    <w:rsid w:val="0036551B"/>
    <w:rsid w:val="003658EB"/>
    <w:rsid w:val="00366639"/>
    <w:rsid w:val="00366B38"/>
    <w:rsid w:val="00367298"/>
    <w:rsid w:val="003678DD"/>
    <w:rsid w:val="00367FD7"/>
    <w:rsid w:val="00370995"/>
    <w:rsid w:val="00371E82"/>
    <w:rsid w:val="003747E4"/>
    <w:rsid w:val="003769C1"/>
    <w:rsid w:val="00376AA9"/>
    <w:rsid w:val="00377FD3"/>
    <w:rsid w:val="0038009D"/>
    <w:rsid w:val="00380CC5"/>
    <w:rsid w:val="00381CAD"/>
    <w:rsid w:val="00381FCB"/>
    <w:rsid w:val="0038264B"/>
    <w:rsid w:val="0038629B"/>
    <w:rsid w:val="0039110F"/>
    <w:rsid w:val="00392F01"/>
    <w:rsid w:val="00393559"/>
    <w:rsid w:val="00393C8A"/>
    <w:rsid w:val="00395980"/>
    <w:rsid w:val="00397AFB"/>
    <w:rsid w:val="003A1ED3"/>
    <w:rsid w:val="003A1FAB"/>
    <w:rsid w:val="003A267F"/>
    <w:rsid w:val="003A306B"/>
    <w:rsid w:val="003A34A0"/>
    <w:rsid w:val="003A3A69"/>
    <w:rsid w:val="003A3EFF"/>
    <w:rsid w:val="003A551D"/>
    <w:rsid w:val="003A7028"/>
    <w:rsid w:val="003A72A7"/>
    <w:rsid w:val="003B1181"/>
    <w:rsid w:val="003B1DA6"/>
    <w:rsid w:val="003B1E95"/>
    <w:rsid w:val="003B2E2C"/>
    <w:rsid w:val="003B475D"/>
    <w:rsid w:val="003B4FAC"/>
    <w:rsid w:val="003B6AC6"/>
    <w:rsid w:val="003B6AF7"/>
    <w:rsid w:val="003B6D42"/>
    <w:rsid w:val="003B73C1"/>
    <w:rsid w:val="003C0AD1"/>
    <w:rsid w:val="003C0D2E"/>
    <w:rsid w:val="003C1673"/>
    <w:rsid w:val="003C1DA4"/>
    <w:rsid w:val="003C21BB"/>
    <w:rsid w:val="003C2458"/>
    <w:rsid w:val="003C374A"/>
    <w:rsid w:val="003C3F09"/>
    <w:rsid w:val="003C5685"/>
    <w:rsid w:val="003C5765"/>
    <w:rsid w:val="003C619A"/>
    <w:rsid w:val="003D38D3"/>
    <w:rsid w:val="003D3E14"/>
    <w:rsid w:val="003D5026"/>
    <w:rsid w:val="003D5C14"/>
    <w:rsid w:val="003D78D3"/>
    <w:rsid w:val="003D7AB5"/>
    <w:rsid w:val="003E025E"/>
    <w:rsid w:val="003E1767"/>
    <w:rsid w:val="003E1C3B"/>
    <w:rsid w:val="003E2ED1"/>
    <w:rsid w:val="003E4715"/>
    <w:rsid w:val="003E5B88"/>
    <w:rsid w:val="003E61F7"/>
    <w:rsid w:val="003E79F8"/>
    <w:rsid w:val="003F0CAF"/>
    <w:rsid w:val="003F0F9A"/>
    <w:rsid w:val="003F1832"/>
    <w:rsid w:val="003F2767"/>
    <w:rsid w:val="003F2B32"/>
    <w:rsid w:val="003F4F8D"/>
    <w:rsid w:val="003F590C"/>
    <w:rsid w:val="003F59EE"/>
    <w:rsid w:val="004006F8"/>
    <w:rsid w:val="00401EE5"/>
    <w:rsid w:val="004032B7"/>
    <w:rsid w:val="0040430C"/>
    <w:rsid w:val="0040532C"/>
    <w:rsid w:val="004072B3"/>
    <w:rsid w:val="00407D33"/>
    <w:rsid w:val="00410585"/>
    <w:rsid w:val="0041290C"/>
    <w:rsid w:val="00414A89"/>
    <w:rsid w:val="00414D03"/>
    <w:rsid w:val="00416027"/>
    <w:rsid w:val="0041607C"/>
    <w:rsid w:val="00416663"/>
    <w:rsid w:val="0042426C"/>
    <w:rsid w:val="00424292"/>
    <w:rsid w:val="00425C38"/>
    <w:rsid w:val="00426A68"/>
    <w:rsid w:val="00426D10"/>
    <w:rsid w:val="004306D1"/>
    <w:rsid w:val="00430CA0"/>
    <w:rsid w:val="00432FD3"/>
    <w:rsid w:val="00432FDA"/>
    <w:rsid w:val="00433660"/>
    <w:rsid w:val="00433BDD"/>
    <w:rsid w:val="00433C4D"/>
    <w:rsid w:val="00434A02"/>
    <w:rsid w:val="00437072"/>
    <w:rsid w:val="00437A43"/>
    <w:rsid w:val="00437EC1"/>
    <w:rsid w:val="004407E2"/>
    <w:rsid w:val="00440A20"/>
    <w:rsid w:val="00441B40"/>
    <w:rsid w:val="00442510"/>
    <w:rsid w:val="0044472E"/>
    <w:rsid w:val="004476B0"/>
    <w:rsid w:val="00451885"/>
    <w:rsid w:val="00451B37"/>
    <w:rsid w:val="00451F31"/>
    <w:rsid w:val="00452DE4"/>
    <w:rsid w:val="00452FA2"/>
    <w:rsid w:val="00452FF0"/>
    <w:rsid w:val="004549D1"/>
    <w:rsid w:val="00455404"/>
    <w:rsid w:val="0045559C"/>
    <w:rsid w:val="00457677"/>
    <w:rsid w:val="00460592"/>
    <w:rsid w:val="00460AF5"/>
    <w:rsid w:val="00461027"/>
    <w:rsid w:val="00463A8E"/>
    <w:rsid w:val="00463B8A"/>
    <w:rsid w:val="00464061"/>
    <w:rsid w:val="00464701"/>
    <w:rsid w:val="0046755B"/>
    <w:rsid w:val="00470143"/>
    <w:rsid w:val="0047020D"/>
    <w:rsid w:val="0047074A"/>
    <w:rsid w:val="00471DED"/>
    <w:rsid w:val="00471F2C"/>
    <w:rsid w:val="004722D5"/>
    <w:rsid w:val="004725C5"/>
    <w:rsid w:val="0047411F"/>
    <w:rsid w:val="0047751B"/>
    <w:rsid w:val="00480973"/>
    <w:rsid w:val="00482900"/>
    <w:rsid w:val="00482EEC"/>
    <w:rsid w:val="004838B5"/>
    <w:rsid w:val="004854F8"/>
    <w:rsid w:val="00485CFF"/>
    <w:rsid w:val="004904F8"/>
    <w:rsid w:val="00493573"/>
    <w:rsid w:val="00493BAF"/>
    <w:rsid w:val="00495A83"/>
    <w:rsid w:val="00496CA8"/>
    <w:rsid w:val="004A01B0"/>
    <w:rsid w:val="004A0308"/>
    <w:rsid w:val="004A0B9E"/>
    <w:rsid w:val="004A17C2"/>
    <w:rsid w:val="004A2437"/>
    <w:rsid w:val="004A5CFD"/>
    <w:rsid w:val="004A5E2D"/>
    <w:rsid w:val="004A787E"/>
    <w:rsid w:val="004B142F"/>
    <w:rsid w:val="004B212C"/>
    <w:rsid w:val="004B2460"/>
    <w:rsid w:val="004B2556"/>
    <w:rsid w:val="004B366F"/>
    <w:rsid w:val="004B380B"/>
    <w:rsid w:val="004B6C61"/>
    <w:rsid w:val="004C0461"/>
    <w:rsid w:val="004C2285"/>
    <w:rsid w:val="004C4875"/>
    <w:rsid w:val="004C4EC4"/>
    <w:rsid w:val="004C5739"/>
    <w:rsid w:val="004C71BD"/>
    <w:rsid w:val="004C71C3"/>
    <w:rsid w:val="004C7493"/>
    <w:rsid w:val="004C7516"/>
    <w:rsid w:val="004D0A30"/>
    <w:rsid w:val="004D2E87"/>
    <w:rsid w:val="004D3325"/>
    <w:rsid w:val="004D4560"/>
    <w:rsid w:val="004D4D56"/>
    <w:rsid w:val="004D604B"/>
    <w:rsid w:val="004D734D"/>
    <w:rsid w:val="004D7382"/>
    <w:rsid w:val="004D7DA4"/>
    <w:rsid w:val="004E2A4D"/>
    <w:rsid w:val="004E31E3"/>
    <w:rsid w:val="004E7C7A"/>
    <w:rsid w:val="004F090C"/>
    <w:rsid w:val="004F32E6"/>
    <w:rsid w:val="004F54EF"/>
    <w:rsid w:val="004F72A0"/>
    <w:rsid w:val="004F74D3"/>
    <w:rsid w:val="005015EB"/>
    <w:rsid w:val="005021C1"/>
    <w:rsid w:val="0050252F"/>
    <w:rsid w:val="005030BF"/>
    <w:rsid w:val="0050414F"/>
    <w:rsid w:val="00504A57"/>
    <w:rsid w:val="00504CA8"/>
    <w:rsid w:val="0050779A"/>
    <w:rsid w:val="0051000C"/>
    <w:rsid w:val="00510767"/>
    <w:rsid w:val="00511677"/>
    <w:rsid w:val="00512B1E"/>
    <w:rsid w:val="00513020"/>
    <w:rsid w:val="005132FE"/>
    <w:rsid w:val="005133E0"/>
    <w:rsid w:val="00517405"/>
    <w:rsid w:val="0051764C"/>
    <w:rsid w:val="00521CF5"/>
    <w:rsid w:val="00524196"/>
    <w:rsid w:val="005246DE"/>
    <w:rsid w:val="00524866"/>
    <w:rsid w:val="00525E49"/>
    <w:rsid w:val="005262C4"/>
    <w:rsid w:val="005266B0"/>
    <w:rsid w:val="00527411"/>
    <w:rsid w:val="00527868"/>
    <w:rsid w:val="005309CF"/>
    <w:rsid w:val="005320DA"/>
    <w:rsid w:val="00535119"/>
    <w:rsid w:val="00537B83"/>
    <w:rsid w:val="00540541"/>
    <w:rsid w:val="005411BF"/>
    <w:rsid w:val="00541823"/>
    <w:rsid w:val="00541E98"/>
    <w:rsid w:val="005428D5"/>
    <w:rsid w:val="005429D1"/>
    <w:rsid w:val="005430E0"/>
    <w:rsid w:val="005440E1"/>
    <w:rsid w:val="00551544"/>
    <w:rsid w:val="00552B51"/>
    <w:rsid w:val="00554148"/>
    <w:rsid w:val="00554603"/>
    <w:rsid w:val="00555309"/>
    <w:rsid w:val="00555FBB"/>
    <w:rsid w:val="0055741E"/>
    <w:rsid w:val="00560760"/>
    <w:rsid w:val="0056110F"/>
    <w:rsid w:val="00561A19"/>
    <w:rsid w:val="00561DC1"/>
    <w:rsid w:val="0056223A"/>
    <w:rsid w:val="005633FB"/>
    <w:rsid w:val="00563EE7"/>
    <w:rsid w:val="00564714"/>
    <w:rsid w:val="00565434"/>
    <w:rsid w:val="00566ACB"/>
    <w:rsid w:val="005679F3"/>
    <w:rsid w:val="005700C4"/>
    <w:rsid w:val="00570BEE"/>
    <w:rsid w:val="0057158D"/>
    <w:rsid w:val="005718F0"/>
    <w:rsid w:val="0057225D"/>
    <w:rsid w:val="00572E1C"/>
    <w:rsid w:val="0057343C"/>
    <w:rsid w:val="00573DA5"/>
    <w:rsid w:val="0057417E"/>
    <w:rsid w:val="0057453C"/>
    <w:rsid w:val="00574569"/>
    <w:rsid w:val="00574A3C"/>
    <w:rsid w:val="0057524D"/>
    <w:rsid w:val="005755E0"/>
    <w:rsid w:val="00576F8C"/>
    <w:rsid w:val="00580453"/>
    <w:rsid w:val="00580CF4"/>
    <w:rsid w:val="00585FB9"/>
    <w:rsid w:val="00586B8A"/>
    <w:rsid w:val="00590E9E"/>
    <w:rsid w:val="00591960"/>
    <w:rsid w:val="00592D42"/>
    <w:rsid w:val="00594E0A"/>
    <w:rsid w:val="00595BD5"/>
    <w:rsid w:val="005964B2"/>
    <w:rsid w:val="00596EA0"/>
    <w:rsid w:val="00597292"/>
    <w:rsid w:val="005A1CC4"/>
    <w:rsid w:val="005A2ACB"/>
    <w:rsid w:val="005A3114"/>
    <w:rsid w:val="005A3B58"/>
    <w:rsid w:val="005A45E5"/>
    <w:rsid w:val="005A4F97"/>
    <w:rsid w:val="005B0089"/>
    <w:rsid w:val="005B2CB3"/>
    <w:rsid w:val="005B3960"/>
    <w:rsid w:val="005B4B46"/>
    <w:rsid w:val="005B6BB2"/>
    <w:rsid w:val="005B743A"/>
    <w:rsid w:val="005B7CCB"/>
    <w:rsid w:val="005B7E24"/>
    <w:rsid w:val="005C1AD4"/>
    <w:rsid w:val="005C34C9"/>
    <w:rsid w:val="005C3995"/>
    <w:rsid w:val="005C3F86"/>
    <w:rsid w:val="005C4531"/>
    <w:rsid w:val="005C4BAA"/>
    <w:rsid w:val="005C4D18"/>
    <w:rsid w:val="005C5011"/>
    <w:rsid w:val="005C51AE"/>
    <w:rsid w:val="005C625F"/>
    <w:rsid w:val="005D2643"/>
    <w:rsid w:val="005D4275"/>
    <w:rsid w:val="005D4554"/>
    <w:rsid w:val="005D46B1"/>
    <w:rsid w:val="005D77D5"/>
    <w:rsid w:val="005E0F85"/>
    <w:rsid w:val="005E10DE"/>
    <w:rsid w:val="005E122C"/>
    <w:rsid w:val="005E30CB"/>
    <w:rsid w:val="005E560C"/>
    <w:rsid w:val="005E576A"/>
    <w:rsid w:val="005E72A8"/>
    <w:rsid w:val="005F040F"/>
    <w:rsid w:val="005F063F"/>
    <w:rsid w:val="005F1915"/>
    <w:rsid w:val="005F2015"/>
    <w:rsid w:val="005F3A5C"/>
    <w:rsid w:val="005F4D9A"/>
    <w:rsid w:val="005F6F22"/>
    <w:rsid w:val="00601B8E"/>
    <w:rsid w:val="00601EDE"/>
    <w:rsid w:val="00603A72"/>
    <w:rsid w:val="00605E93"/>
    <w:rsid w:val="006061F7"/>
    <w:rsid w:val="0060744F"/>
    <w:rsid w:val="006117E7"/>
    <w:rsid w:val="0061377A"/>
    <w:rsid w:val="00614D33"/>
    <w:rsid w:val="00614F45"/>
    <w:rsid w:val="00621146"/>
    <w:rsid w:val="006226B8"/>
    <w:rsid w:val="006234A1"/>
    <w:rsid w:val="00623541"/>
    <w:rsid w:val="00623C29"/>
    <w:rsid w:val="00623E56"/>
    <w:rsid w:val="00626117"/>
    <w:rsid w:val="006267F2"/>
    <w:rsid w:val="0062693B"/>
    <w:rsid w:val="00626F58"/>
    <w:rsid w:val="006279B0"/>
    <w:rsid w:val="00627C4F"/>
    <w:rsid w:val="006302CC"/>
    <w:rsid w:val="006325B4"/>
    <w:rsid w:val="00632A73"/>
    <w:rsid w:val="00634589"/>
    <w:rsid w:val="0063484B"/>
    <w:rsid w:val="006348AC"/>
    <w:rsid w:val="00635071"/>
    <w:rsid w:val="0063560A"/>
    <w:rsid w:val="00635898"/>
    <w:rsid w:val="00635F1E"/>
    <w:rsid w:val="00636C0D"/>
    <w:rsid w:val="0063735B"/>
    <w:rsid w:val="00640133"/>
    <w:rsid w:val="00640468"/>
    <w:rsid w:val="00641417"/>
    <w:rsid w:val="00641D57"/>
    <w:rsid w:val="0064214D"/>
    <w:rsid w:val="006421B0"/>
    <w:rsid w:val="00642202"/>
    <w:rsid w:val="0064359B"/>
    <w:rsid w:val="00644443"/>
    <w:rsid w:val="006448BF"/>
    <w:rsid w:val="006449E6"/>
    <w:rsid w:val="00644C42"/>
    <w:rsid w:val="006462BC"/>
    <w:rsid w:val="00646D20"/>
    <w:rsid w:val="00647436"/>
    <w:rsid w:val="0065009C"/>
    <w:rsid w:val="00651062"/>
    <w:rsid w:val="006520BC"/>
    <w:rsid w:val="00653733"/>
    <w:rsid w:val="006557B8"/>
    <w:rsid w:val="006574E1"/>
    <w:rsid w:val="00662298"/>
    <w:rsid w:val="006646BB"/>
    <w:rsid w:val="0066491E"/>
    <w:rsid w:val="00664FD4"/>
    <w:rsid w:val="006655A2"/>
    <w:rsid w:val="00665D6A"/>
    <w:rsid w:val="00665E4A"/>
    <w:rsid w:val="0066652E"/>
    <w:rsid w:val="00666B1E"/>
    <w:rsid w:val="006670B4"/>
    <w:rsid w:val="00667344"/>
    <w:rsid w:val="006720A9"/>
    <w:rsid w:val="00672A73"/>
    <w:rsid w:val="00673BB6"/>
    <w:rsid w:val="006749E6"/>
    <w:rsid w:val="00674A2A"/>
    <w:rsid w:val="00674D2A"/>
    <w:rsid w:val="00675455"/>
    <w:rsid w:val="006758EB"/>
    <w:rsid w:val="0067597A"/>
    <w:rsid w:val="00677244"/>
    <w:rsid w:val="00677532"/>
    <w:rsid w:val="00677C5D"/>
    <w:rsid w:val="0068019A"/>
    <w:rsid w:val="0068098D"/>
    <w:rsid w:val="006813DB"/>
    <w:rsid w:val="00681871"/>
    <w:rsid w:val="00681BA4"/>
    <w:rsid w:val="00681D7B"/>
    <w:rsid w:val="0068419E"/>
    <w:rsid w:val="006847BD"/>
    <w:rsid w:val="00685EDC"/>
    <w:rsid w:val="00686501"/>
    <w:rsid w:val="006866B1"/>
    <w:rsid w:val="00686915"/>
    <w:rsid w:val="0068699D"/>
    <w:rsid w:val="00690020"/>
    <w:rsid w:val="006903F3"/>
    <w:rsid w:val="006909C7"/>
    <w:rsid w:val="00691524"/>
    <w:rsid w:val="00692813"/>
    <w:rsid w:val="00692B8A"/>
    <w:rsid w:val="00692CD6"/>
    <w:rsid w:val="006949DC"/>
    <w:rsid w:val="00694BF0"/>
    <w:rsid w:val="00695512"/>
    <w:rsid w:val="0069740D"/>
    <w:rsid w:val="006A10E3"/>
    <w:rsid w:val="006A2444"/>
    <w:rsid w:val="006A2D5E"/>
    <w:rsid w:val="006A3014"/>
    <w:rsid w:val="006A3FF4"/>
    <w:rsid w:val="006A42F1"/>
    <w:rsid w:val="006A6037"/>
    <w:rsid w:val="006A65A0"/>
    <w:rsid w:val="006A6697"/>
    <w:rsid w:val="006A7400"/>
    <w:rsid w:val="006A7BB9"/>
    <w:rsid w:val="006B0B42"/>
    <w:rsid w:val="006B106D"/>
    <w:rsid w:val="006B1725"/>
    <w:rsid w:val="006B1D10"/>
    <w:rsid w:val="006B2E7E"/>
    <w:rsid w:val="006B3AF6"/>
    <w:rsid w:val="006B3F3C"/>
    <w:rsid w:val="006B6820"/>
    <w:rsid w:val="006B745D"/>
    <w:rsid w:val="006C208A"/>
    <w:rsid w:val="006C34E3"/>
    <w:rsid w:val="006C3AAB"/>
    <w:rsid w:val="006C3CE7"/>
    <w:rsid w:val="006C5517"/>
    <w:rsid w:val="006C6A9E"/>
    <w:rsid w:val="006C718E"/>
    <w:rsid w:val="006C76E0"/>
    <w:rsid w:val="006D184D"/>
    <w:rsid w:val="006D1F08"/>
    <w:rsid w:val="006D272A"/>
    <w:rsid w:val="006D3413"/>
    <w:rsid w:val="006D56AB"/>
    <w:rsid w:val="006D608B"/>
    <w:rsid w:val="006D7D67"/>
    <w:rsid w:val="006E00CC"/>
    <w:rsid w:val="006E0581"/>
    <w:rsid w:val="006E137B"/>
    <w:rsid w:val="006E1D1D"/>
    <w:rsid w:val="006E1F5E"/>
    <w:rsid w:val="006E49E2"/>
    <w:rsid w:val="006E554B"/>
    <w:rsid w:val="006F07B4"/>
    <w:rsid w:val="006F0B13"/>
    <w:rsid w:val="006F1B3A"/>
    <w:rsid w:val="006F1EFB"/>
    <w:rsid w:val="006F2891"/>
    <w:rsid w:val="006F4B87"/>
    <w:rsid w:val="006F5914"/>
    <w:rsid w:val="006F59A0"/>
    <w:rsid w:val="006F61DC"/>
    <w:rsid w:val="006F63A7"/>
    <w:rsid w:val="006F7732"/>
    <w:rsid w:val="007030A7"/>
    <w:rsid w:val="00704CDA"/>
    <w:rsid w:val="00710214"/>
    <w:rsid w:val="00710459"/>
    <w:rsid w:val="00712D11"/>
    <w:rsid w:val="0071484A"/>
    <w:rsid w:val="00714AF4"/>
    <w:rsid w:val="00716400"/>
    <w:rsid w:val="00717630"/>
    <w:rsid w:val="0072160B"/>
    <w:rsid w:val="00721B39"/>
    <w:rsid w:val="00722C05"/>
    <w:rsid w:val="007239A9"/>
    <w:rsid w:val="00723BEC"/>
    <w:rsid w:val="00724C39"/>
    <w:rsid w:val="00726C46"/>
    <w:rsid w:val="007277F8"/>
    <w:rsid w:val="0073071B"/>
    <w:rsid w:val="00731F46"/>
    <w:rsid w:val="00732187"/>
    <w:rsid w:val="00735610"/>
    <w:rsid w:val="00737221"/>
    <w:rsid w:val="00740928"/>
    <w:rsid w:val="007415F2"/>
    <w:rsid w:val="007417AD"/>
    <w:rsid w:val="00741DB7"/>
    <w:rsid w:val="0074460E"/>
    <w:rsid w:val="007449BF"/>
    <w:rsid w:val="007465E9"/>
    <w:rsid w:val="0074662E"/>
    <w:rsid w:val="00751C96"/>
    <w:rsid w:val="00752925"/>
    <w:rsid w:val="00752F54"/>
    <w:rsid w:val="007534E1"/>
    <w:rsid w:val="00753527"/>
    <w:rsid w:val="00755759"/>
    <w:rsid w:val="00756044"/>
    <w:rsid w:val="0075642D"/>
    <w:rsid w:val="00756E3D"/>
    <w:rsid w:val="00757BB9"/>
    <w:rsid w:val="0076185E"/>
    <w:rsid w:val="00763C74"/>
    <w:rsid w:val="00764906"/>
    <w:rsid w:val="00765E1C"/>
    <w:rsid w:val="00765E7C"/>
    <w:rsid w:val="00767BCC"/>
    <w:rsid w:val="0077008F"/>
    <w:rsid w:val="00770438"/>
    <w:rsid w:val="007711FC"/>
    <w:rsid w:val="007721E9"/>
    <w:rsid w:val="007722D4"/>
    <w:rsid w:val="00773660"/>
    <w:rsid w:val="00774851"/>
    <w:rsid w:val="007748B0"/>
    <w:rsid w:val="00776054"/>
    <w:rsid w:val="0077706A"/>
    <w:rsid w:val="00777C03"/>
    <w:rsid w:val="00777EA4"/>
    <w:rsid w:val="00780B74"/>
    <w:rsid w:val="00780F44"/>
    <w:rsid w:val="007812F5"/>
    <w:rsid w:val="00781962"/>
    <w:rsid w:val="00782DB1"/>
    <w:rsid w:val="00783D7D"/>
    <w:rsid w:val="00784313"/>
    <w:rsid w:val="0078580D"/>
    <w:rsid w:val="0078580F"/>
    <w:rsid w:val="00787892"/>
    <w:rsid w:val="007912BF"/>
    <w:rsid w:val="00791738"/>
    <w:rsid w:val="0079491B"/>
    <w:rsid w:val="007950B5"/>
    <w:rsid w:val="00796596"/>
    <w:rsid w:val="00797617"/>
    <w:rsid w:val="007A0C31"/>
    <w:rsid w:val="007A0D51"/>
    <w:rsid w:val="007A39D2"/>
    <w:rsid w:val="007A3A1C"/>
    <w:rsid w:val="007A3DCB"/>
    <w:rsid w:val="007A4BAB"/>
    <w:rsid w:val="007A5146"/>
    <w:rsid w:val="007A565F"/>
    <w:rsid w:val="007A6A38"/>
    <w:rsid w:val="007A6CAD"/>
    <w:rsid w:val="007B01C0"/>
    <w:rsid w:val="007B12B9"/>
    <w:rsid w:val="007B30F9"/>
    <w:rsid w:val="007B397F"/>
    <w:rsid w:val="007B673D"/>
    <w:rsid w:val="007B6A29"/>
    <w:rsid w:val="007B79C4"/>
    <w:rsid w:val="007B7C77"/>
    <w:rsid w:val="007B7E8B"/>
    <w:rsid w:val="007C03FB"/>
    <w:rsid w:val="007C13CE"/>
    <w:rsid w:val="007C1569"/>
    <w:rsid w:val="007C2F19"/>
    <w:rsid w:val="007C3C1D"/>
    <w:rsid w:val="007C450E"/>
    <w:rsid w:val="007C4732"/>
    <w:rsid w:val="007C49EC"/>
    <w:rsid w:val="007C5AB1"/>
    <w:rsid w:val="007C62C7"/>
    <w:rsid w:val="007C71A8"/>
    <w:rsid w:val="007C7F51"/>
    <w:rsid w:val="007D0F3D"/>
    <w:rsid w:val="007D3297"/>
    <w:rsid w:val="007D3472"/>
    <w:rsid w:val="007D444F"/>
    <w:rsid w:val="007D606B"/>
    <w:rsid w:val="007D6819"/>
    <w:rsid w:val="007E0C0E"/>
    <w:rsid w:val="007E1187"/>
    <w:rsid w:val="007E217C"/>
    <w:rsid w:val="007E42BB"/>
    <w:rsid w:val="007E4648"/>
    <w:rsid w:val="007E47EC"/>
    <w:rsid w:val="007E5553"/>
    <w:rsid w:val="007E5DE5"/>
    <w:rsid w:val="007E66D7"/>
    <w:rsid w:val="007E6B03"/>
    <w:rsid w:val="007E6D15"/>
    <w:rsid w:val="007E6F79"/>
    <w:rsid w:val="007E7696"/>
    <w:rsid w:val="007F03C7"/>
    <w:rsid w:val="007F0CCC"/>
    <w:rsid w:val="007F29E5"/>
    <w:rsid w:val="007F2CFF"/>
    <w:rsid w:val="007F2FF6"/>
    <w:rsid w:val="007F35F5"/>
    <w:rsid w:val="007F37D2"/>
    <w:rsid w:val="007F3855"/>
    <w:rsid w:val="007F489A"/>
    <w:rsid w:val="007F5091"/>
    <w:rsid w:val="007F525D"/>
    <w:rsid w:val="007F5C56"/>
    <w:rsid w:val="007F67F4"/>
    <w:rsid w:val="007F68AC"/>
    <w:rsid w:val="008003B5"/>
    <w:rsid w:val="00800422"/>
    <w:rsid w:val="00800CF1"/>
    <w:rsid w:val="0080162B"/>
    <w:rsid w:val="00801FA3"/>
    <w:rsid w:val="0080240A"/>
    <w:rsid w:val="00802C44"/>
    <w:rsid w:val="00803832"/>
    <w:rsid w:val="008039E0"/>
    <w:rsid w:val="008061AD"/>
    <w:rsid w:val="00814F6C"/>
    <w:rsid w:val="00817612"/>
    <w:rsid w:val="008208D0"/>
    <w:rsid w:val="00821AA3"/>
    <w:rsid w:val="00821AB4"/>
    <w:rsid w:val="008225FF"/>
    <w:rsid w:val="00822E8D"/>
    <w:rsid w:val="00823A2E"/>
    <w:rsid w:val="00823BE3"/>
    <w:rsid w:val="00825326"/>
    <w:rsid w:val="00827C0B"/>
    <w:rsid w:val="008310B8"/>
    <w:rsid w:val="0083311D"/>
    <w:rsid w:val="00833327"/>
    <w:rsid w:val="0083453A"/>
    <w:rsid w:val="0083617D"/>
    <w:rsid w:val="00836B85"/>
    <w:rsid w:val="00840D05"/>
    <w:rsid w:val="00841F49"/>
    <w:rsid w:val="008424ED"/>
    <w:rsid w:val="00842863"/>
    <w:rsid w:val="00842DF9"/>
    <w:rsid w:val="00845023"/>
    <w:rsid w:val="00846BE8"/>
    <w:rsid w:val="00846F20"/>
    <w:rsid w:val="0084758C"/>
    <w:rsid w:val="00847F23"/>
    <w:rsid w:val="00850139"/>
    <w:rsid w:val="0085046C"/>
    <w:rsid w:val="00850D56"/>
    <w:rsid w:val="0085320A"/>
    <w:rsid w:val="008545F5"/>
    <w:rsid w:val="00854EAB"/>
    <w:rsid w:val="008552AB"/>
    <w:rsid w:val="008559DB"/>
    <w:rsid w:val="00856110"/>
    <w:rsid w:val="0085657E"/>
    <w:rsid w:val="00856764"/>
    <w:rsid w:val="00857161"/>
    <w:rsid w:val="008575F1"/>
    <w:rsid w:val="008600D0"/>
    <w:rsid w:val="00860F3B"/>
    <w:rsid w:val="008615D0"/>
    <w:rsid w:val="00861610"/>
    <w:rsid w:val="008621AD"/>
    <w:rsid w:val="00862AD2"/>
    <w:rsid w:val="0086417B"/>
    <w:rsid w:val="00864558"/>
    <w:rsid w:val="008649C2"/>
    <w:rsid w:val="00865587"/>
    <w:rsid w:val="0086599A"/>
    <w:rsid w:val="00865FDD"/>
    <w:rsid w:val="008667B4"/>
    <w:rsid w:val="00867CEB"/>
    <w:rsid w:val="00870115"/>
    <w:rsid w:val="0087079D"/>
    <w:rsid w:val="00870DEA"/>
    <w:rsid w:val="008719C4"/>
    <w:rsid w:val="00872A21"/>
    <w:rsid w:val="00874224"/>
    <w:rsid w:val="008753D9"/>
    <w:rsid w:val="0087637D"/>
    <w:rsid w:val="0088175B"/>
    <w:rsid w:val="0088435F"/>
    <w:rsid w:val="00892854"/>
    <w:rsid w:val="00893A1E"/>
    <w:rsid w:val="0089403B"/>
    <w:rsid w:val="00895E19"/>
    <w:rsid w:val="00896F8A"/>
    <w:rsid w:val="008A0125"/>
    <w:rsid w:val="008A08BA"/>
    <w:rsid w:val="008A0A19"/>
    <w:rsid w:val="008A0B73"/>
    <w:rsid w:val="008A1AFE"/>
    <w:rsid w:val="008A2455"/>
    <w:rsid w:val="008A3988"/>
    <w:rsid w:val="008A48C6"/>
    <w:rsid w:val="008A51F1"/>
    <w:rsid w:val="008A7CA7"/>
    <w:rsid w:val="008A7D4F"/>
    <w:rsid w:val="008B0615"/>
    <w:rsid w:val="008B0CC4"/>
    <w:rsid w:val="008B0E22"/>
    <w:rsid w:val="008B105C"/>
    <w:rsid w:val="008B139C"/>
    <w:rsid w:val="008B1B3A"/>
    <w:rsid w:val="008B296C"/>
    <w:rsid w:val="008B320A"/>
    <w:rsid w:val="008B48D4"/>
    <w:rsid w:val="008B6D9D"/>
    <w:rsid w:val="008B6DF5"/>
    <w:rsid w:val="008B6F28"/>
    <w:rsid w:val="008B7B8E"/>
    <w:rsid w:val="008C01F4"/>
    <w:rsid w:val="008C0F85"/>
    <w:rsid w:val="008C1DD8"/>
    <w:rsid w:val="008C291D"/>
    <w:rsid w:val="008C2933"/>
    <w:rsid w:val="008C2D63"/>
    <w:rsid w:val="008C3039"/>
    <w:rsid w:val="008C52EC"/>
    <w:rsid w:val="008C737D"/>
    <w:rsid w:val="008D09C2"/>
    <w:rsid w:val="008D39B9"/>
    <w:rsid w:val="008D3EF3"/>
    <w:rsid w:val="008D4FF7"/>
    <w:rsid w:val="008D6947"/>
    <w:rsid w:val="008D70B7"/>
    <w:rsid w:val="008E15E2"/>
    <w:rsid w:val="008E16AE"/>
    <w:rsid w:val="008E1F66"/>
    <w:rsid w:val="008E4148"/>
    <w:rsid w:val="008E4183"/>
    <w:rsid w:val="008E48DE"/>
    <w:rsid w:val="008E4EAA"/>
    <w:rsid w:val="008E4FBC"/>
    <w:rsid w:val="008E5C72"/>
    <w:rsid w:val="008E69B5"/>
    <w:rsid w:val="008E7CDB"/>
    <w:rsid w:val="008F3C5F"/>
    <w:rsid w:val="008F4F8B"/>
    <w:rsid w:val="008F5A36"/>
    <w:rsid w:val="008F5EA0"/>
    <w:rsid w:val="008F6256"/>
    <w:rsid w:val="008F6824"/>
    <w:rsid w:val="008F6E1E"/>
    <w:rsid w:val="008F7A68"/>
    <w:rsid w:val="0090016D"/>
    <w:rsid w:val="00901516"/>
    <w:rsid w:val="00901973"/>
    <w:rsid w:val="00902FE0"/>
    <w:rsid w:val="00903118"/>
    <w:rsid w:val="009062D9"/>
    <w:rsid w:val="00906472"/>
    <w:rsid w:val="009070D0"/>
    <w:rsid w:val="00910232"/>
    <w:rsid w:val="00910C7D"/>
    <w:rsid w:val="00911243"/>
    <w:rsid w:val="00911CD6"/>
    <w:rsid w:val="00912390"/>
    <w:rsid w:val="00912ADD"/>
    <w:rsid w:val="00912E05"/>
    <w:rsid w:val="00916954"/>
    <w:rsid w:val="0091719E"/>
    <w:rsid w:val="009173D3"/>
    <w:rsid w:val="00920D3E"/>
    <w:rsid w:val="0092279E"/>
    <w:rsid w:val="009246D3"/>
    <w:rsid w:val="009266F0"/>
    <w:rsid w:val="00927764"/>
    <w:rsid w:val="00927C40"/>
    <w:rsid w:val="009302ED"/>
    <w:rsid w:val="00933CFE"/>
    <w:rsid w:val="00933D07"/>
    <w:rsid w:val="009345DD"/>
    <w:rsid w:val="00934799"/>
    <w:rsid w:val="0093506C"/>
    <w:rsid w:val="00936602"/>
    <w:rsid w:val="009370DC"/>
    <w:rsid w:val="00937BE9"/>
    <w:rsid w:val="00937E49"/>
    <w:rsid w:val="00940547"/>
    <w:rsid w:val="00941291"/>
    <w:rsid w:val="009413EF"/>
    <w:rsid w:val="0094171F"/>
    <w:rsid w:val="00942C5B"/>
    <w:rsid w:val="00944A98"/>
    <w:rsid w:val="00944E11"/>
    <w:rsid w:val="00945C26"/>
    <w:rsid w:val="00945FA1"/>
    <w:rsid w:val="00946849"/>
    <w:rsid w:val="0094776F"/>
    <w:rsid w:val="0095108C"/>
    <w:rsid w:val="00951F1C"/>
    <w:rsid w:val="0095295E"/>
    <w:rsid w:val="0095305B"/>
    <w:rsid w:val="00953C2C"/>
    <w:rsid w:val="00956A43"/>
    <w:rsid w:val="00956C04"/>
    <w:rsid w:val="00960F6A"/>
    <w:rsid w:val="00961A35"/>
    <w:rsid w:val="0096267E"/>
    <w:rsid w:val="009626C5"/>
    <w:rsid w:val="00963066"/>
    <w:rsid w:val="00963395"/>
    <w:rsid w:val="00963916"/>
    <w:rsid w:val="009646D4"/>
    <w:rsid w:val="00965E5C"/>
    <w:rsid w:val="00967789"/>
    <w:rsid w:val="009709B1"/>
    <w:rsid w:val="00971824"/>
    <w:rsid w:val="009728AB"/>
    <w:rsid w:val="009729C7"/>
    <w:rsid w:val="00973E0F"/>
    <w:rsid w:val="009749E3"/>
    <w:rsid w:val="00975609"/>
    <w:rsid w:val="00976ADB"/>
    <w:rsid w:val="009774FB"/>
    <w:rsid w:val="00982CBE"/>
    <w:rsid w:val="00984177"/>
    <w:rsid w:val="009845C5"/>
    <w:rsid w:val="00984B99"/>
    <w:rsid w:val="0098606C"/>
    <w:rsid w:val="0098633C"/>
    <w:rsid w:val="009868F6"/>
    <w:rsid w:val="00987788"/>
    <w:rsid w:val="00990581"/>
    <w:rsid w:val="0099070F"/>
    <w:rsid w:val="00990F40"/>
    <w:rsid w:val="00991056"/>
    <w:rsid w:val="009911F8"/>
    <w:rsid w:val="00992A7B"/>
    <w:rsid w:val="00993AB6"/>
    <w:rsid w:val="00993B39"/>
    <w:rsid w:val="00994085"/>
    <w:rsid w:val="009A05F1"/>
    <w:rsid w:val="009A1007"/>
    <w:rsid w:val="009A4B9D"/>
    <w:rsid w:val="009A60B8"/>
    <w:rsid w:val="009A6FFE"/>
    <w:rsid w:val="009B0953"/>
    <w:rsid w:val="009B0BAE"/>
    <w:rsid w:val="009B0FF5"/>
    <w:rsid w:val="009B1908"/>
    <w:rsid w:val="009B1DE1"/>
    <w:rsid w:val="009B1FDA"/>
    <w:rsid w:val="009B23FA"/>
    <w:rsid w:val="009B3647"/>
    <w:rsid w:val="009B474B"/>
    <w:rsid w:val="009B5D72"/>
    <w:rsid w:val="009B6410"/>
    <w:rsid w:val="009B6B92"/>
    <w:rsid w:val="009C16A4"/>
    <w:rsid w:val="009C1DF1"/>
    <w:rsid w:val="009C265E"/>
    <w:rsid w:val="009C2C74"/>
    <w:rsid w:val="009C2FC8"/>
    <w:rsid w:val="009C2FFC"/>
    <w:rsid w:val="009C30CD"/>
    <w:rsid w:val="009C379D"/>
    <w:rsid w:val="009C39ED"/>
    <w:rsid w:val="009D010D"/>
    <w:rsid w:val="009D0AC3"/>
    <w:rsid w:val="009D146E"/>
    <w:rsid w:val="009D4579"/>
    <w:rsid w:val="009D4C9C"/>
    <w:rsid w:val="009D50D0"/>
    <w:rsid w:val="009D56DA"/>
    <w:rsid w:val="009D683E"/>
    <w:rsid w:val="009D6885"/>
    <w:rsid w:val="009D69B6"/>
    <w:rsid w:val="009D7C63"/>
    <w:rsid w:val="009E136A"/>
    <w:rsid w:val="009E2512"/>
    <w:rsid w:val="009E292D"/>
    <w:rsid w:val="009E2E06"/>
    <w:rsid w:val="009E474F"/>
    <w:rsid w:val="009E4B49"/>
    <w:rsid w:val="009E5BF8"/>
    <w:rsid w:val="009E62FA"/>
    <w:rsid w:val="009F036E"/>
    <w:rsid w:val="009F2F25"/>
    <w:rsid w:val="009F3AA5"/>
    <w:rsid w:val="009F3D27"/>
    <w:rsid w:val="009F4026"/>
    <w:rsid w:val="009F464E"/>
    <w:rsid w:val="009F7FBA"/>
    <w:rsid w:val="00A002AA"/>
    <w:rsid w:val="00A02199"/>
    <w:rsid w:val="00A029ED"/>
    <w:rsid w:val="00A02F39"/>
    <w:rsid w:val="00A0770D"/>
    <w:rsid w:val="00A07AA7"/>
    <w:rsid w:val="00A07F5A"/>
    <w:rsid w:val="00A10979"/>
    <w:rsid w:val="00A113EB"/>
    <w:rsid w:val="00A11A35"/>
    <w:rsid w:val="00A124E7"/>
    <w:rsid w:val="00A126E5"/>
    <w:rsid w:val="00A136B5"/>
    <w:rsid w:val="00A13BA9"/>
    <w:rsid w:val="00A13F13"/>
    <w:rsid w:val="00A143E8"/>
    <w:rsid w:val="00A14E2E"/>
    <w:rsid w:val="00A151C6"/>
    <w:rsid w:val="00A1578A"/>
    <w:rsid w:val="00A15F42"/>
    <w:rsid w:val="00A16351"/>
    <w:rsid w:val="00A16592"/>
    <w:rsid w:val="00A16902"/>
    <w:rsid w:val="00A16F7D"/>
    <w:rsid w:val="00A178C2"/>
    <w:rsid w:val="00A21D58"/>
    <w:rsid w:val="00A2215B"/>
    <w:rsid w:val="00A23067"/>
    <w:rsid w:val="00A240A9"/>
    <w:rsid w:val="00A25884"/>
    <w:rsid w:val="00A25F0F"/>
    <w:rsid w:val="00A27447"/>
    <w:rsid w:val="00A27451"/>
    <w:rsid w:val="00A309D0"/>
    <w:rsid w:val="00A3202A"/>
    <w:rsid w:val="00A32209"/>
    <w:rsid w:val="00A33C03"/>
    <w:rsid w:val="00A3535D"/>
    <w:rsid w:val="00A35AC9"/>
    <w:rsid w:val="00A36BFE"/>
    <w:rsid w:val="00A375C0"/>
    <w:rsid w:val="00A40682"/>
    <w:rsid w:val="00A409A6"/>
    <w:rsid w:val="00A4190D"/>
    <w:rsid w:val="00A435A9"/>
    <w:rsid w:val="00A44475"/>
    <w:rsid w:val="00A44C1D"/>
    <w:rsid w:val="00A456E0"/>
    <w:rsid w:val="00A45816"/>
    <w:rsid w:val="00A45F00"/>
    <w:rsid w:val="00A465D2"/>
    <w:rsid w:val="00A468DC"/>
    <w:rsid w:val="00A5196C"/>
    <w:rsid w:val="00A51BAF"/>
    <w:rsid w:val="00A53560"/>
    <w:rsid w:val="00A53906"/>
    <w:rsid w:val="00A5421D"/>
    <w:rsid w:val="00A55D84"/>
    <w:rsid w:val="00A56070"/>
    <w:rsid w:val="00A578FD"/>
    <w:rsid w:val="00A57DF2"/>
    <w:rsid w:val="00A62737"/>
    <w:rsid w:val="00A62A58"/>
    <w:rsid w:val="00A6313E"/>
    <w:rsid w:val="00A647C4"/>
    <w:rsid w:val="00A6550F"/>
    <w:rsid w:val="00A6642E"/>
    <w:rsid w:val="00A66F85"/>
    <w:rsid w:val="00A67052"/>
    <w:rsid w:val="00A67DE9"/>
    <w:rsid w:val="00A70167"/>
    <w:rsid w:val="00A7019D"/>
    <w:rsid w:val="00A70538"/>
    <w:rsid w:val="00A71720"/>
    <w:rsid w:val="00A72CA0"/>
    <w:rsid w:val="00A72F24"/>
    <w:rsid w:val="00A73674"/>
    <w:rsid w:val="00A75359"/>
    <w:rsid w:val="00A75BA0"/>
    <w:rsid w:val="00A81106"/>
    <w:rsid w:val="00A83887"/>
    <w:rsid w:val="00A84491"/>
    <w:rsid w:val="00A84731"/>
    <w:rsid w:val="00A85601"/>
    <w:rsid w:val="00A86456"/>
    <w:rsid w:val="00A865D6"/>
    <w:rsid w:val="00A87566"/>
    <w:rsid w:val="00A9281E"/>
    <w:rsid w:val="00A92832"/>
    <w:rsid w:val="00A940B2"/>
    <w:rsid w:val="00A95640"/>
    <w:rsid w:val="00A96A5A"/>
    <w:rsid w:val="00A9718C"/>
    <w:rsid w:val="00AA178A"/>
    <w:rsid w:val="00AA2706"/>
    <w:rsid w:val="00AA3416"/>
    <w:rsid w:val="00AA39F3"/>
    <w:rsid w:val="00AA5F89"/>
    <w:rsid w:val="00AA6C0A"/>
    <w:rsid w:val="00AA75F6"/>
    <w:rsid w:val="00AB1065"/>
    <w:rsid w:val="00AB29FB"/>
    <w:rsid w:val="00AB2DC7"/>
    <w:rsid w:val="00AB5B5A"/>
    <w:rsid w:val="00AB720F"/>
    <w:rsid w:val="00AC316E"/>
    <w:rsid w:val="00AC3651"/>
    <w:rsid w:val="00AC37CB"/>
    <w:rsid w:val="00AC3DA2"/>
    <w:rsid w:val="00AC45A6"/>
    <w:rsid w:val="00AC533B"/>
    <w:rsid w:val="00AC5D1D"/>
    <w:rsid w:val="00AC5E85"/>
    <w:rsid w:val="00AC622B"/>
    <w:rsid w:val="00AC678C"/>
    <w:rsid w:val="00AC6B50"/>
    <w:rsid w:val="00AC74F6"/>
    <w:rsid w:val="00AD0007"/>
    <w:rsid w:val="00AD010A"/>
    <w:rsid w:val="00AD03F0"/>
    <w:rsid w:val="00AD0B3D"/>
    <w:rsid w:val="00AD3217"/>
    <w:rsid w:val="00AD404C"/>
    <w:rsid w:val="00AD5AC2"/>
    <w:rsid w:val="00AE19DA"/>
    <w:rsid w:val="00AE23AD"/>
    <w:rsid w:val="00AE324C"/>
    <w:rsid w:val="00AE375A"/>
    <w:rsid w:val="00AE4269"/>
    <w:rsid w:val="00AE546A"/>
    <w:rsid w:val="00AE73E3"/>
    <w:rsid w:val="00AE7B1D"/>
    <w:rsid w:val="00AE7C2C"/>
    <w:rsid w:val="00AE7FDE"/>
    <w:rsid w:val="00AF10E5"/>
    <w:rsid w:val="00AF1E60"/>
    <w:rsid w:val="00AF2111"/>
    <w:rsid w:val="00AF2E91"/>
    <w:rsid w:val="00AF324E"/>
    <w:rsid w:val="00AF365E"/>
    <w:rsid w:val="00AF3D13"/>
    <w:rsid w:val="00AF582F"/>
    <w:rsid w:val="00AF7E54"/>
    <w:rsid w:val="00B013ED"/>
    <w:rsid w:val="00B0219C"/>
    <w:rsid w:val="00B024C1"/>
    <w:rsid w:val="00B02A46"/>
    <w:rsid w:val="00B033F3"/>
    <w:rsid w:val="00B0660F"/>
    <w:rsid w:val="00B11FF8"/>
    <w:rsid w:val="00B14376"/>
    <w:rsid w:val="00B14945"/>
    <w:rsid w:val="00B1548F"/>
    <w:rsid w:val="00B165A0"/>
    <w:rsid w:val="00B165BF"/>
    <w:rsid w:val="00B16AEF"/>
    <w:rsid w:val="00B16D02"/>
    <w:rsid w:val="00B17040"/>
    <w:rsid w:val="00B22A84"/>
    <w:rsid w:val="00B22C4A"/>
    <w:rsid w:val="00B2448A"/>
    <w:rsid w:val="00B245E2"/>
    <w:rsid w:val="00B24B32"/>
    <w:rsid w:val="00B25164"/>
    <w:rsid w:val="00B256C6"/>
    <w:rsid w:val="00B25BFC"/>
    <w:rsid w:val="00B275EC"/>
    <w:rsid w:val="00B3025A"/>
    <w:rsid w:val="00B305FD"/>
    <w:rsid w:val="00B30B10"/>
    <w:rsid w:val="00B32DFE"/>
    <w:rsid w:val="00B332C2"/>
    <w:rsid w:val="00B33396"/>
    <w:rsid w:val="00B34870"/>
    <w:rsid w:val="00B34B14"/>
    <w:rsid w:val="00B3558C"/>
    <w:rsid w:val="00B37BEC"/>
    <w:rsid w:val="00B40789"/>
    <w:rsid w:val="00B41470"/>
    <w:rsid w:val="00B41BD8"/>
    <w:rsid w:val="00B431E8"/>
    <w:rsid w:val="00B44782"/>
    <w:rsid w:val="00B467D7"/>
    <w:rsid w:val="00B46DAA"/>
    <w:rsid w:val="00B46DBE"/>
    <w:rsid w:val="00B470E5"/>
    <w:rsid w:val="00B477C5"/>
    <w:rsid w:val="00B47E25"/>
    <w:rsid w:val="00B51E9F"/>
    <w:rsid w:val="00B52D53"/>
    <w:rsid w:val="00B52EDE"/>
    <w:rsid w:val="00B5331B"/>
    <w:rsid w:val="00B543D8"/>
    <w:rsid w:val="00B56376"/>
    <w:rsid w:val="00B56587"/>
    <w:rsid w:val="00B56EFE"/>
    <w:rsid w:val="00B60EFD"/>
    <w:rsid w:val="00B611C6"/>
    <w:rsid w:val="00B611D1"/>
    <w:rsid w:val="00B63D46"/>
    <w:rsid w:val="00B63FF6"/>
    <w:rsid w:val="00B64C03"/>
    <w:rsid w:val="00B64EAA"/>
    <w:rsid w:val="00B65654"/>
    <w:rsid w:val="00B66027"/>
    <w:rsid w:val="00B66937"/>
    <w:rsid w:val="00B66DFC"/>
    <w:rsid w:val="00B71294"/>
    <w:rsid w:val="00B712B0"/>
    <w:rsid w:val="00B71E1D"/>
    <w:rsid w:val="00B72477"/>
    <w:rsid w:val="00B726EA"/>
    <w:rsid w:val="00B73052"/>
    <w:rsid w:val="00B74227"/>
    <w:rsid w:val="00B7451F"/>
    <w:rsid w:val="00B74569"/>
    <w:rsid w:val="00B751D0"/>
    <w:rsid w:val="00B75780"/>
    <w:rsid w:val="00B75BAC"/>
    <w:rsid w:val="00B77786"/>
    <w:rsid w:val="00B77B9D"/>
    <w:rsid w:val="00B820FC"/>
    <w:rsid w:val="00B83866"/>
    <w:rsid w:val="00B850B8"/>
    <w:rsid w:val="00B852D8"/>
    <w:rsid w:val="00B85D33"/>
    <w:rsid w:val="00B85E24"/>
    <w:rsid w:val="00B87857"/>
    <w:rsid w:val="00B92611"/>
    <w:rsid w:val="00B92D8A"/>
    <w:rsid w:val="00B93E65"/>
    <w:rsid w:val="00B940FE"/>
    <w:rsid w:val="00B94FA5"/>
    <w:rsid w:val="00B96D65"/>
    <w:rsid w:val="00B97627"/>
    <w:rsid w:val="00BA013A"/>
    <w:rsid w:val="00BA0C1B"/>
    <w:rsid w:val="00BA1460"/>
    <w:rsid w:val="00BA4A71"/>
    <w:rsid w:val="00BA4F52"/>
    <w:rsid w:val="00BA588F"/>
    <w:rsid w:val="00BA645D"/>
    <w:rsid w:val="00BA69B2"/>
    <w:rsid w:val="00BB0CBC"/>
    <w:rsid w:val="00BB2679"/>
    <w:rsid w:val="00BB3B56"/>
    <w:rsid w:val="00BB49CC"/>
    <w:rsid w:val="00BB5DF8"/>
    <w:rsid w:val="00BB6670"/>
    <w:rsid w:val="00BB77F6"/>
    <w:rsid w:val="00BC197F"/>
    <w:rsid w:val="00BC25D3"/>
    <w:rsid w:val="00BC29BF"/>
    <w:rsid w:val="00BC2F6B"/>
    <w:rsid w:val="00BC3753"/>
    <w:rsid w:val="00BC38E5"/>
    <w:rsid w:val="00BC4213"/>
    <w:rsid w:val="00BC6895"/>
    <w:rsid w:val="00BC7918"/>
    <w:rsid w:val="00BD10A8"/>
    <w:rsid w:val="00BD1630"/>
    <w:rsid w:val="00BD1F0A"/>
    <w:rsid w:val="00BD2C21"/>
    <w:rsid w:val="00BD43B7"/>
    <w:rsid w:val="00BD5040"/>
    <w:rsid w:val="00BD665B"/>
    <w:rsid w:val="00BE161C"/>
    <w:rsid w:val="00BE1699"/>
    <w:rsid w:val="00BE2655"/>
    <w:rsid w:val="00BE31D4"/>
    <w:rsid w:val="00BE4383"/>
    <w:rsid w:val="00BE627E"/>
    <w:rsid w:val="00BF108B"/>
    <w:rsid w:val="00BF365B"/>
    <w:rsid w:val="00BF442F"/>
    <w:rsid w:val="00BF48C6"/>
    <w:rsid w:val="00BF5AFC"/>
    <w:rsid w:val="00BF6C6E"/>
    <w:rsid w:val="00C02766"/>
    <w:rsid w:val="00C0424B"/>
    <w:rsid w:val="00C04336"/>
    <w:rsid w:val="00C0568D"/>
    <w:rsid w:val="00C06840"/>
    <w:rsid w:val="00C06DFA"/>
    <w:rsid w:val="00C106F4"/>
    <w:rsid w:val="00C10727"/>
    <w:rsid w:val="00C10811"/>
    <w:rsid w:val="00C113FE"/>
    <w:rsid w:val="00C1451E"/>
    <w:rsid w:val="00C14F11"/>
    <w:rsid w:val="00C15561"/>
    <w:rsid w:val="00C162BC"/>
    <w:rsid w:val="00C16972"/>
    <w:rsid w:val="00C17BD6"/>
    <w:rsid w:val="00C217F7"/>
    <w:rsid w:val="00C2462E"/>
    <w:rsid w:val="00C2472A"/>
    <w:rsid w:val="00C24862"/>
    <w:rsid w:val="00C258AB"/>
    <w:rsid w:val="00C26868"/>
    <w:rsid w:val="00C26E31"/>
    <w:rsid w:val="00C27524"/>
    <w:rsid w:val="00C27C34"/>
    <w:rsid w:val="00C27F5C"/>
    <w:rsid w:val="00C27FD6"/>
    <w:rsid w:val="00C30947"/>
    <w:rsid w:val="00C32468"/>
    <w:rsid w:val="00C335DE"/>
    <w:rsid w:val="00C339D5"/>
    <w:rsid w:val="00C34C88"/>
    <w:rsid w:val="00C3504C"/>
    <w:rsid w:val="00C35818"/>
    <w:rsid w:val="00C36278"/>
    <w:rsid w:val="00C36DF2"/>
    <w:rsid w:val="00C408CE"/>
    <w:rsid w:val="00C42960"/>
    <w:rsid w:val="00C42D8E"/>
    <w:rsid w:val="00C43FDE"/>
    <w:rsid w:val="00C448D6"/>
    <w:rsid w:val="00C4518C"/>
    <w:rsid w:val="00C45B75"/>
    <w:rsid w:val="00C4699F"/>
    <w:rsid w:val="00C46C75"/>
    <w:rsid w:val="00C501B6"/>
    <w:rsid w:val="00C503BC"/>
    <w:rsid w:val="00C50E2D"/>
    <w:rsid w:val="00C528DA"/>
    <w:rsid w:val="00C53969"/>
    <w:rsid w:val="00C53EB1"/>
    <w:rsid w:val="00C54103"/>
    <w:rsid w:val="00C5522B"/>
    <w:rsid w:val="00C559EE"/>
    <w:rsid w:val="00C5781B"/>
    <w:rsid w:val="00C60A20"/>
    <w:rsid w:val="00C60BCC"/>
    <w:rsid w:val="00C61775"/>
    <w:rsid w:val="00C61819"/>
    <w:rsid w:val="00C61CC0"/>
    <w:rsid w:val="00C65261"/>
    <w:rsid w:val="00C659F9"/>
    <w:rsid w:val="00C707E8"/>
    <w:rsid w:val="00C70A9B"/>
    <w:rsid w:val="00C70E29"/>
    <w:rsid w:val="00C712D2"/>
    <w:rsid w:val="00C72447"/>
    <w:rsid w:val="00C7532B"/>
    <w:rsid w:val="00C75363"/>
    <w:rsid w:val="00C75DA8"/>
    <w:rsid w:val="00C77BDB"/>
    <w:rsid w:val="00C82D94"/>
    <w:rsid w:val="00C83EE1"/>
    <w:rsid w:val="00C85E2B"/>
    <w:rsid w:val="00C85E85"/>
    <w:rsid w:val="00C8655F"/>
    <w:rsid w:val="00C87678"/>
    <w:rsid w:val="00C8794A"/>
    <w:rsid w:val="00C87E16"/>
    <w:rsid w:val="00C90115"/>
    <w:rsid w:val="00C90357"/>
    <w:rsid w:val="00C90E42"/>
    <w:rsid w:val="00C9394B"/>
    <w:rsid w:val="00C943B0"/>
    <w:rsid w:val="00C94525"/>
    <w:rsid w:val="00C9511A"/>
    <w:rsid w:val="00C957C1"/>
    <w:rsid w:val="00C9593F"/>
    <w:rsid w:val="00C95D73"/>
    <w:rsid w:val="00C96A0D"/>
    <w:rsid w:val="00C96CE9"/>
    <w:rsid w:val="00CA0159"/>
    <w:rsid w:val="00CA0301"/>
    <w:rsid w:val="00CA0337"/>
    <w:rsid w:val="00CA107C"/>
    <w:rsid w:val="00CA1285"/>
    <w:rsid w:val="00CA254D"/>
    <w:rsid w:val="00CA4DEE"/>
    <w:rsid w:val="00CA72C4"/>
    <w:rsid w:val="00CA7BF5"/>
    <w:rsid w:val="00CA7E72"/>
    <w:rsid w:val="00CB0FA9"/>
    <w:rsid w:val="00CB3928"/>
    <w:rsid w:val="00CB393C"/>
    <w:rsid w:val="00CB3E26"/>
    <w:rsid w:val="00CB4848"/>
    <w:rsid w:val="00CB5371"/>
    <w:rsid w:val="00CB564C"/>
    <w:rsid w:val="00CB5C07"/>
    <w:rsid w:val="00CC2A77"/>
    <w:rsid w:val="00CC2DA9"/>
    <w:rsid w:val="00CC41A1"/>
    <w:rsid w:val="00CC44E5"/>
    <w:rsid w:val="00CC4EEA"/>
    <w:rsid w:val="00CD1FE2"/>
    <w:rsid w:val="00CD3572"/>
    <w:rsid w:val="00CD4986"/>
    <w:rsid w:val="00CD5264"/>
    <w:rsid w:val="00CD5914"/>
    <w:rsid w:val="00CD6028"/>
    <w:rsid w:val="00CD7C03"/>
    <w:rsid w:val="00CE130B"/>
    <w:rsid w:val="00CE1851"/>
    <w:rsid w:val="00CE2B6D"/>
    <w:rsid w:val="00CE2B99"/>
    <w:rsid w:val="00CE3E90"/>
    <w:rsid w:val="00CE428B"/>
    <w:rsid w:val="00CE4895"/>
    <w:rsid w:val="00CE4B8F"/>
    <w:rsid w:val="00CE4C69"/>
    <w:rsid w:val="00CE57FD"/>
    <w:rsid w:val="00CE6928"/>
    <w:rsid w:val="00CE7DED"/>
    <w:rsid w:val="00CE7EF1"/>
    <w:rsid w:val="00CF015A"/>
    <w:rsid w:val="00CF0A11"/>
    <w:rsid w:val="00CF1281"/>
    <w:rsid w:val="00CF1A3F"/>
    <w:rsid w:val="00CF2092"/>
    <w:rsid w:val="00CF3BC8"/>
    <w:rsid w:val="00CF4665"/>
    <w:rsid w:val="00CF4ABF"/>
    <w:rsid w:val="00CF546C"/>
    <w:rsid w:val="00CF5502"/>
    <w:rsid w:val="00CF7E49"/>
    <w:rsid w:val="00D001FF"/>
    <w:rsid w:val="00D0033E"/>
    <w:rsid w:val="00D0044E"/>
    <w:rsid w:val="00D013A2"/>
    <w:rsid w:val="00D0461E"/>
    <w:rsid w:val="00D04831"/>
    <w:rsid w:val="00D067EA"/>
    <w:rsid w:val="00D10A28"/>
    <w:rsid w:val="00D15252"/>
    <w:rsid w:val="00D156FA"/>
    <w:rsid w:val="00D22ADE"/>
    <w:rsid w:val="00D22BA7"/>
    <w:rsid w:val="00D24189"/>
    <w:rsid w:val="00D24460"/>
    <w:rsid w:val="00D24A93"/>
    <w:rsid w:val="00D262E7"/>
    <w:rsid w:val="00D27F49"/>
    <w:rsid w:val="00D311CB"/>
    <w:rsid w:val="00D318DF"/>
    <w:rsid w:val="00D31A56"/>
    <w:rsid w:val="00D32226"/>
    <w:rsid w:val="00D33BDF"/>
    <w:rsid w:val="00D357D5"/>
    <w:rsid w:val="00D3632E"/>
    <w:rsid w:val="00D3638E"/>
    <w:rsid w:val="00D37360"/>
    <w:rsid w:val="00D37789"/>
    <w:rsid w:val="00D41511"/>
    <w:rsid w:val="00D42757"/>
    <w:rsid w:val="00D4375D"/>
    <w:rsid w:val="00D44D53"/>
    <w:rsid w:val="00D466A9"/>
    <w:rsid w:val="00D466CA"/>
    <w:rsid w:val="00D505A6"/>
    <w:rsid w:val="00D51726"/>
    <w:rsid w:val="00D5173A"/>
    <w:rsid w:val="00D51F15"/>
    <w:rsid w:val="00D528AD"/>
    <w:rsid w:val="00D52F99"/>
    <w:rsid w:val="00D536AA"/>
    <w:rsid w:val="00D53867"/>
    <w:rsid w:val="00D5422C"/>
    <w:rsid w:val="00D542E4"/>
    <w:rsid w:val="00D5437E"/>
    <w:rsid w:val="00D54492"/>
    <w:rsid w:val="00D56ABD"/>
    <w:rsid w:val="00D56AD2"/>
    <w:rsid w:val="00D57BA0"/>
    <w:rsid w:val="00D62E4E"/>
    <w:rsid w:val="00D645A3"/>
    <w:rsid w:val="00D64DED"/>
    <w:rsid w:val="00D659B4"/>
    <w:rsid w:val="00D66071"/>
    <w:rsid w:val="00D672AE"/>
    <w:rsid w:val="00D7084F"/>
    <w:rsid w:val="00D719F2"/>
    <w:rsid w:val="00D71CBF"/>
    <w:rsid w:val="00D71D7D"/>
    <w:rsid w:val="00D722B7"/>
    <w:rsid w:val="00D73A06"/>
    <w:rsid w:val="00D73C64"/>
    <w:rsid w:val="00D75315"/>
    <w:rsid w:val="00D76F67"/>
    <w:rsid w:val="00D7733C"/>
    <w:rsid w:val="00D810B0"/>
    <w:rsid w:val="00D82702"/>
    <w:rsid w:val="00D82C68"/>
    <w:rsid w:val="00D8405F"/>
    <w:rsid w:val="00D8514E"/>
    <w:rsid w:val="00D869AE"/>
    <w:rsid w:val="00D876A6"/>
    <w:rsid w:val="00D878EE"/>
    <w:rsid w:val="00D90200"/>
    <w:rsid w:val="00D91F30"/>
    <w:rsid w:val="00D932C7"/>
    <w:rsid w:val="00D932CA"/>
    <w:rsid w:val="00D93472"/>
    <w:rsid w:val="00D953F6"/>
    <w:rsid w:val="00D96516"/>
    <w:rsid w:val="00D9663D"/>
    <w:rsid w:val="00DA047C"/>
    <w:rsid w:val="00DA07FA"/>
    <w:rsid w:val="00DA0D7E"/>
    <w:rsid w:val="00DA173E"/>
    <w:rsid w:val="00DA2257"/>
    <w:rsid w:val="00DA3965"/>
    <w:rsid w:val="00DA5901"/>
    <w:rsid w:val="00DA5BBA"/>
    <w:rsid w:val="00DA69D1"/>
    <w:rsid w:val="00DA6CD7"/>
    <w:rsid w:val="00DA7A6E"/>
    <w:rsid w:val="00DB1081"/>
    <w:rsid w:val="00DB135D"/>
    <w:rsid w:val="00DB2848"/>
    <w:rsid w:val="00DB4124"/>
    <w:rsid w:val="00DB4408"/>
    <w:rsid w:val="00DB4906"/>
    <w:rsid w:val="00DB5B93"/>
    <w:rsid w:val="00DB5F94"/>
    <w:rsid w:val="00DB703B"/>
    <w:rsid w:val="00DB7381"/>
    <w:rsid w:val="00DB7FAE"/>
    <w:rsid w:val="00DC0538"/>
    <w:rsid w:val="00DC17F3"/>
    <w:rsid w:val="00DC2287"/>
    <w:rsid w:val="00DC2D88"/>
    <w:rsid w:val="00DC360D"/>
    <w:rsid w:val="00DC7AB4"/>
    <w:rsid w:val="00DD0609"/>
    <w:rsid w:val="00DD083F"/>
    <w:rsid w:val="00DD0B96"/>
    <w:rsid w:val="00DD3BC0"/>
    <w:rsid w:val="00DD3F21"/>
    <w:rsid w:val="00DD4B76"/>
    <w:rsid w:val="00DD4D83"/>
    <w:rsid w:val="00DD5EF5"/>
    <w:rsid w:val="00DD6203"/>
    <w:rsid w:val="00DD64F1"/>
    <w:rsid w:val="00DD7056"/>
    <w:rsid w:val="00DD7AB0"/>
    <w:rsid w:val="00DD7CF5"/>
    <w:rsid w:val="00DD7F21"/>
    <w:rsid w:val="00DE0115"/>
    <w:rsid w:val="00DE0282"/>
    <w:rsid w:val="00DE02D2"/>
    <w:rsid w:val="00DE03E6"/>
    <w:rsid w:val="00DE0889"/>
    <w:rsid w:val="00DE0AF3"/>
    <w:rsid w:val="00DE0CB7"/>
    <w:rsid w:val="00DE3ED2"/>
    <w:rsid w:val="00DE611F"/>
    <w:rsid w:val="00DE6179"/>
    <w:rsid w:val="00DE621E"/>
    <w:rsid w:val="00DE634D"/>
    <w:rsid w:val="00DE6D79"/>
    <w:rsid w:val="00DE71EE"/>
    <w:rsid w:val="00DE780E"/>
    <w:rsid w:val="00DF06E2"/>
    <w:rsid w:val="00DF0BF9"/>
    <w:rsid w:val="00DF2CB0"/>
    <w:rsid w:val="00DF36A7"/>
    <w:rsid w:val="00DF3967"/>
    <w:rsid w:val="00DF5BCC"/>
    <w:rsid w:val="00E02785"/>
    <w:rsid w:val="00E031C2"/>
    <w:rsid w:val="00E03953"/>
    <w:rsid w:val="00E03A5B"/>
    <w:rsid w:val="00E04C60"/>
    <w:rsid w:val="00E07580"/>
    <w:rsid w:val="00E075E5"/>
    <w:rsid w:val="00E12321"/>
    <w:rsid w:val="00E13394"/>
    <w:rsid w:val="00E13C7B"/>
    <w:rsid w:val="00E13D28"/>
    <w:rsid w:val="00E1453A"/>
    <w:rsid w:val="00E149CC"/>
    <w:rsid w:val="00E154C7"/>
    <w:rsid w:val="00E1680A"/>
    <w:rsid w:val="00E16BF8"/>
    <w:rsid w:val="00E178BF"/>
    <w:rsid w:val="00E20383"/>
    <w:rsid w:val="00E206C5"/>
    <w:rsid w:val="00E2150D"/>
    <w:rsid w:val="00E232AE"/>
    <w:rsid w:val="00E23781"/>
    <w:rsid w:val="00E24DB9"/>
    <w:rsid w:val="00E25FB3"/>
    <w:rsid w:val="00E266BE"/>
    <w:rsid w:val="00E27703"/>
    <w:rsid w:val="00E27B04"/>
    <w:rsid w:val="00E27EBE"/>
    <w:rsid w:val="00E31DCE"/>
    <w:rsid w:val="00E3227A"/>
    <w:rsid w:val="00E3343E"/>
    <w:rsid w:val="00E352A9"/>
    <w:rsid w:val="00E355F9"/>
    <w:rsid w:val="00E3638C"/>
    <w:rsid w:val="00E37F73"/>
    <w:rsid w:val="00E40C71"/>
    <w:rsid w:val="00E4138B"/>
    <w:rsid w:val="00E423E6"/>
    <w:rsid w:val="00E4454C"/>
    <w:rsid w:val="00E463AA"/>
    <w:rsid w:val="00E503FE"/>
    <w:rsid w:val="00E513D8"/>
    <w:rsid w:val="00E5281B"/>
    <w:rsid w:val="00E52D03"/>
    <w:rsid w:val="00E52F66"/>
    <w:rsid w:val="00E553EB"/>
    <w:rsid w:val="00E55637"/>
    <w:rsid w:val="00E57183"/>
    <w:rsid w:val="00E57286"/>
    <w:rsid w:val="00E5750B"/>
    <w:rsid w:val="00E632A5"/>
    <w:rsid w:val="00E659B0"/>
    <w:rsid w:val="00E65DA1"/>
    <w:rsid w:val="00E661C4"/>
    <w:rsid w:val="00E669D4"/>
    <w:rsid w:val="00E66A81"/>
    <w:rsid w:val="00E67C6F"/>
    <w:rsid w:val="00E706B5"/>
    <w:rsid w:val="00E7339B"/>
    <w:rsid w:val="00E744D1"/>
    <w:rsid w:val="00E7455D"/>
    <w:rsid w:val="00E74DC3"/>
    <w:rsid w:val="00E75C20"/>
    <w:rsid w:val="00E76ADE"/>
    <w:rsid w:val="00E776AB"/>
    <w:rsid w:val="00E77935"/>
    <w:rsid w:val="00E801BA"/>
    <w:rsid w:val="00E8085A"/>
    <w:rsid w:val="00E818CB"/>
    <w:rsid w:val="00E82413"/>
    <w:rsid w:val="00E82518"/>
    <w:rsid w:val="00E83379"/>
    <w:rsid w:val="00E83896"/>
    <w:rsid w:val="00E83CD9"/>
    <w:rsid w:val="00E843FD"/>
    <w:rsid w:val="00E845C8"/>
    <w:rsid w:val="00E85632"/>
    <w:rsid w:val="00E864F0"/>
    <w:rsid w:val="00E8678A"/>
    <w:rsid w:val="00E875A5"/>
    <w:rsid w:val="00E904F3"/>
    <w:rsid w:val="00E90A15"/>
    <w:rsid w:val="00E919AB"/>
    <w:rsid w:val="00E91C20"/>
    <w:rsid w:val="00E975A3"/>
    <w:rsid w:val="00EA038A"/>
    <w:rsid w:val="00EA0BED"/>
    <w:rsid w:val="00EA0E7B"/>
    <w:rsid w:val="00EA2185"/>
    <w:rsid w:val="00EA29B2"/>
    <w:rsid w:val="00EA2C1C"/>
    <w:rsid w:val="00EA2FC3"/>
    <w:rsid w:val="00EA32BD"/>
    <w:rsid w:val="00EA3766"/>
    <w:rsid w:val="00EA395A"/>
    <w:rsid w:val="00EB09A9"/>
    <w:rsid w:val="00EB0FDA"/>
    <w:rsid w:val="00EB34F3"/>
    <w:rsid w:val="00EB35D3"/>
    <w:rsid w:val="00EB3696"/>
    <w:rsid w:val="00EB3F55"/>
    <w:rsid w:val="00EB4B51"/>
    <w:rsid w:val="00EB4F22"/>
    <w:rsid w:val="00EB4F6D"/>
    <w:rsid w:val="00EB58C7"/>
    <w:rsid w:val="00EB5BB1"/>
    <w:rsid w:val="00EB5EDF"/>
    <w:rsid w:val="00EB6DDE"/>
    <w:rsid w:val="00EB7544"/>
    <w:rsid w:val="00EC260A"/>
    <w:rsid w:val="00EC33B0"/>
    <w:rsid w:val="00EC4C99"/>
    <w:rsid w:val="00EC52D5"/>
    <w:rsid w:val="00EC5A7A"/>
    <w:rsid w:val="00EC5C5D"/>
    <w:rsid w:val="00EC61F0"/>
    <w:rsid w:val="00EC752D"/>
    <w:rsid w:val="00EC77FE"/>
    <w:rsid w:val="00ED0A5C"/>
    <w:rsid w:val="00ED1F27"/>
    <w:rsid w:val="00ED22D1"/>
    <w:rsid w:val="00ED2DF4"/>
    <w:rsid w:val="00ED3316"/>
    <w:rsid w:val="00ED4831"/>
    <w:rsid w:val="00ED4AD6"/>
    <w:rsid w:val="00ED57AE"/>
    <w:rsid w:val="00EE2690"/>
    <w:rsid w:val="00EE484E"/>
    <w:rsid w:val="00EE5E38"/>
    <w:rsid w:val="00EE6689"/>
    <w:rsid w:val="00EF0732"/>
    <w:rsid w:val="00EF0ABA"/>
    <w:rsid w:val="00EF0B80"/>
    <w:rsid w:val="00EF1428"/>
    <w:rsid w:val="00EF16F2"/>
    <w:rsid w:val="00EF19D7"/>
    <w:rsid w:val="00EF4561"/>
    <w:rsid w:val="00EF4F57"/>
    <w:rsid w:val="00EF5771"/>
    <w:rsid w:val="00F00363"/>
    <w:rsid w:val="00F02E1D"/>
    <w:rsid w:val="00F030A0"/>
    <w:rsid w:val="00F031E3"/>
    <w:rsid w:val="00F042E1"/>
    <w:rsid w:val="00F04C18"/>
    <w:rsid w:val="00F0575C"/>
    <w:rsid w:val="00F05A44"/>
    <w:rsid w:val="00F061D3"/>
    <w:rsid w:val="00F07557"/>
    <w:rsid w:val="00F11291"/>
    <w:rsid w:val="00F12242"/>
    <w:rsid w:val="00F1304A"/>
    <w:rsid w:val="00F13051"/>
    <w:rsid w:val="00F14E03"/>
    <w:rsid w:val="00F14F61"/>
    <w:rsid w:val="00F15190"/>
    <w:rsid w:val="00F15E1D"/>
    <w:rsid w:val="00F16308"/>
    <w:rsid w:val="00F17250"/>
    <w:rsid w:val="00F176FD"/>
    <w:rsid w:val="00F17B90"/>
    <w:rsid w:val="00F20B40"/>
    <w:rsid w:val="00F219F1"/>
    <w:rsid w:val="00F2389E"/>
    <w:rsid w:val="00F24F96"/>
    <w:rsid w:val="00F25149"/>
    <w:rsid w:val="00F265F5"/>
    <w:rsid w:val="00F3015D"/>
    <w:rsid w:val="00F30448"/>
    <w:rsid w:val="00F30E41"/>
    <w:rsid w:val="00F325EF"/>
    <w:rsid w:val="00F33049"/>
    <w:rsid w:val="00F3341A"/>
    <w:rsid w:val="00F33924"/>
    <w:rsid w:val="00F33B67"/>
    <w:rsid w:val="00F34528"/>
    <w:rsid w:val="00F349F6"/>
    <w:rsid w:val="00F35E6C"/>
    <w:rsid w:val="00F36717"/>
    <w:rsid w:val="00F36878"/>
    <w:rsid w:val="00F36FDD"/>
    <w:rsid w:val="00F40699"/>
    <w:rsid w:val="00F40F25"/>
    <w:rsid w:val="00F4121F"/>
    <w:rsid w:val="00F422A8"/>
    <w:rsid w:val="00F42BB7"/>
    <w:rsid w:val="00F439CA"/>
    <w:rsid w:val="00F442B6"/>
    <w:rsid w:val="00F45739"/>
    <w:rsid w:val="00F457F2"/>
    <w:rsid w:val="00F469A3"/>
    <w:rsid w:val="00F469D6"/>
    <w:rsid w:val="00F47A09"/>
    <w:rsid w:val="00F50583"/>
    <w:rsid w:val="00F50B61"/>
    <w:rsid w:val="00F5113D"/>
    <w:rsid w:val="00F51F2B"/>
    <w:rsid w:val="00F52A34"/>
    <w:rsid w:val="00F52BB2"/>
    <w:rsid w:val="00F5654D"/>
    <w:rsid w:val="00F567AC"/>
    <w:rsid w:val="00F56AAA"/>
    <w:rsid w:val="00F56DEA"/>
    <w:rsid w:val="00F56FBE"/>
    <w:rsid w:val="00F576ED"/>
    <w:rsid w:val="00F57F1A"/>
    <w:rsid w:val="00F57F96"/>
    <w:rsid w:val="00F61DA7"/>
    <w:rsid w:val="00F623CD"/>
    <w:rsid w:val="00F64188"/>
    <w:rsid w:val="00F64B60"/>
    <w:rsid w:val="00F662AF"/>
    <w:rsid w:val="00F66755"/>
    <w:rsid w:val="00F66D2D"/>
    <w:rsid w:val="00F67C6D"/>
    <w:rsid w:val="00F70726"/>
    <w:rsid w:val="00F70EB1"/>
    <w:rsid w:val="00F73E3F"/>
    <w:rsid w:val="00F74A96"/>
    <w:rsid w:val="00F75DCD"/>
    <w:rsid w:val="00F75E6B"/>
    <w:rsid w:val="00F76A26"/>
    <w:rsid w:val="00F80D2C"/>
    <w:rsid w:val="00F81C31"/>
    <w:rsid w:val="00F8373E"/>
    <w:rsid w:val="00F8415E"/>
    <w:rsid w:val="00F84AE3"/>
    <w:rsid w:val="00F87D4A"/>
    <w:rsid w:val="00F92C49"/>
    <w:rsid w:val="00F93392"/>
    <w:rsid w:val="00F94643"/>
    <w:rsid w:val="00F94AE1"/>
    <w:rsid w:val="00F94E77"/>
    <w:rsid w:val="00F94FAD"/>
    <w:rsid w:val="00F95B0D"/>
    <w:rsid w:val="00F96E92"/>
    <w:rsid w:val="00FA1EDF"/>
    <w:rsid w:val="00FA315F"/>
    <w:rsid w:val="00FA4D51"/>
    <w:rsid w:val="00FA518B"/>
    <w:rsid w:val="00FA5D75"/>
    <w:rsid w:val="00FA76E2"/>
    <w:rsid w:val="00FA78CD"/>
    <w:rsid w:val="00FB0178"/>
    <w:rsid w:val="00FB2B61"/>
    <w:rsid w:val="00FB43D4"/>
    <w:rsid w:val="00FB71C1"/>
    <w:rsid w:val="00FB7DFF"/>
    <w:rsid w:val="00FC0BCD"/>
    <w:rsid w:val="00FC1CA2"/>
    <w:rsid w:val="00FC1E16"/>
    <w:rsid w:val="00FC1E1D"/>
    <w:rsid w:val="00FC3C57"/>
    <w:rsid w:val="00FC3EA0"/>
    <w:rsid w:val="00FC4361"/>
    <w:rsid w:val="00FC512C"/>
    <w:rsid w:val="00FC75D2"/>
    <w:rsid w:val="00FD031D"/>
    <w:rsid w:val="00FD18CE"/>
    <w:rsid w:val="00FD198B"/>
    <w:rsid w:val="00FD1A46"/>
    <w:rsid w:val="00FD1F1E"/>
    <w:rsid w:val="00FD2E26"/>
    <w:rsid w:val="00FD3070"/>
    <w:rsid w:val="00FD32A7"/>
    <w:rsid w:val="00FD3D32"/>
    <w:rsid w:val="00FD41B8"/>
    <w:rsid w:val="00FD5695"/>
    <w:rsid w:val="00FD5718"/>
    <w:rsid w:val="00FD71F8"/>
    <w:rsid w:val="00FE1234"/>
    <w:rsid w:val="00FE1CA7"/>
    <w:rsid w:val="00FE281A"/>
    <w:rsid w:val="00FE2CBB"/>
    <w:rsid w:val="00FE2EEF"/>
    <w:rsid w:val="00FE2F8E"/>
    <w:rsid w:val="00FE56E1"/>
    <w:rsid w:val="00FF0119"/>
    <w:rsid w:val="00FF04D9"/>
    <w:rsid w:val="00FF0749"/>
    <w:rsid w:val="00FF0A01"/>
    <w:rsid w:val="00FF10A0"/>
    <w:rsid w:val="00FF2296"/>
    <w:rsid w:val="00FF51EC"/>
    <w:rsid w:val="00FF6379"/>
    <w:rsid w:val="00FF65F2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450896"/>
  <w15:docId w15:val="{F12ABB7E-642B-4FF7-9843-155F1E5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55A"/>
  </w:style>
  <w:style w:type="paragraph" w:styleId="Nagwek1">
    <w:name w:val="heading 1"/>
    <w:basedOn w:val="Normalny"/>
    <w:next w:val="Normalny"/>
    <w:link w:val="Nagwek1Znak"/>
    <w:uiPriority w:val="9"/>
    <w:qFormat/>
    <w:rsid w:val="00864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12D11"/>
    <w:pPr>
      <w:keepNext/>
      <w:spacing w:before="360" w:after="120" w:line="300" w:lineRule="exact"/>
      <w:jc w:val="both"/>
      <w:outlineLvl w:val="1"/>
    </w:pPr>
    <w:rPr>
      <w:rFonts w:ascii="Garamond" w:eastAsia="Times New Roman" w:hAnsi="Garamond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712D11"/>
    <w:pPr>
      <w:keepNext/>
      <w:tabs>
        <w:tab w:val="left" w:pos="720"/>
      </w:tabs>
      <w:spacing w:before="240" w:after="120" w:line="300" w:lineRule="exact"/>
      <w:jc w:val="both"/>
      <w:outlineLvl w:val="2"/>
    </w:pPr>
    <w:rPr>
      <w:rFonts w:ascii="Garamond" w:eastAsia="Times New Roman" w:hAnsi="Garamond" w:cs="Arial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3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57524D"/>
    <w:pPr>
      <w:tabs>
        <w:tab w:val="right" w:leader="dot" w:pos="9062"/>
      </w:tabs>
      <w:spacing w:after="100" w:line="360" w:lineRule="auto"/>
      <w:ind w:left="220"/>
    </w:pPr>
    <w:rPr>
      <w:rFonts w:ascii="Georgia" w:hAnsi="Georgia"/>
      <w:b/>
      <w:small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12D11"/>
    <w:rPr>
      <w:rFonts w:ascii="Garamond" w:eastAsia="Times New Roman" w:hAnsi="Garamond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712D11"/>
    <w:rPr>
      <w:rFonts w:ascii="Garamond" w:eastAsia="Times New Roman" w:hAnsi="Garamond" w:cs="Arial"/>
      <w:bCs/>
      <w:sz w:val="24"/>
      <w:szCs w:val="26"/>
      <w:lang w:eastAsia="pl-PL"/>
    </w:rPr>
  </w:style>
  <w:style w:type="table" w:styleId="Tabela-Siatka">
    <w:name w:val="Table Grid"/>
    <w:basedOn w:val="Standardowy"/>
    <w:uiPriority w:val="39"/>
    <w:rsid w:val="007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2D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304A"/>
    <w:pPr>
      <w:spacing w:after="200" w:line="276" w:lineRule="auto"/>
      <w:ind w:left="720"/>
      <w:contextualSpacing/>
    </w:pPr>
    <w:rPr>
      <w:rFonts w:ascii="Georgia" w:eastAsia="Calibri" w:hAnsi="Georgia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5E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64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417B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132A"/>
    <w:pPr>
      <w:tabs>
        <w:tab w:val="left" w:pos="880"/>
        <w:tab w:val="right" w:leader="dot" w:pos="9062"/>
      </w:tabs>
      <w:spacing w:after="100"/>
      <w:ind w:left="851" w:hanging="411"/>
    </w:pPr>
  </w:style>
  <w:style w:type="character" w:customStyle="1" w:styleId="Teksttreci">
    <w:name w:val="Tekst treści_"/>
    <w:link w:val="Teksttreci0"/>
    <w:rsid w:val="00455404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5404"/>
    <w:pPr>
      <w:widowControl w:val="0"/>
      <w:shd w:val="clear" w:color="auto" w:fill="FFFFFF"/>
      <w:spacing w:before="300" w:after="240" w:line="235" w:lineRule="exact"/>
      <w:ind w:hanging="360"/>
    </w:pPr>
    <w:rPr>
      <w:rFonts w:ascii="Georgia" w:eastAsia="Georgia" w:hAnsi="Georgia" w:cs="Georgi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D8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77A"/>
    <w:pPr>
      <w:spacing w:after="100" w:line="276" w:lineRule="auto"/>
    </w:pPr>
  </w:style>
  <w:style w:type="paragraph" w:styleId="Nagwek">
    <w:name w:val="header"/>
    <w:basedOn w:val="Normalny"/>
    <w:link w:val="NagwekZnak"/>
    <w:uiPriority w:val="99"/>
    <w:unhideWhenUsed/>
    <w:rsid w:val="006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77A"/>
  </w:style>
  <w:style w:type="character" w:styleId="Odwoaniedokomentarza">
    <w:name w:val="annotation reference"/>
    <w:basedOn w:val="Domylnaczcionkaakapitu"/>
    <w:uiPriority w:val="99"/>
    <w:semiHidden/>
    <w:unhideWhenUsed/>
    <w:rsid w:val="002D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1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18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0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EE"/>
  </w:style>
  <w:style w:type="table" w:customStyle="1" w:styleId="Tabela-Siatka1">
    <w:name w:val="Tabela - Siatka1"/>
    <w:basedOn w:val="Standardowy"/>
    <w:next w:val="Tabela-Siatka"/>
    <w:uiPriority w:val="39"/>
    <w:rsid w:val="008F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D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4D51"/>
    <w:rPr>
      <w:b/>
      <w:bCs/>
    </w:rPr>
  </w:style>
  <w:style w:type="character" w:customStyle="1" w:styleId="st">
    <w:name w:val="st"/>
    <w:basedOn w:val="Domylnaczcionkaakapitu"/>
    <w:rsid w:val="00FA4D51"/>
  </w:style>
  <w:style w:type="paragraph" w:styleId="Tekstprzypisudolnego">
    <w:name w:val="footnote text"/>
    <w:basedOn w:val="Normalny"/>
    <w:link w:val="TekstprzypisudolnegoZnak"/>
    <w:uiPriority w:val="99"/>
    <w:unhideWhenUsed/>
    <w:rsid w:val="00301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43D"/>
    <w:rPr>
      <w:sz w:val="20"/>
      <w:szCs w:val="20"/>
    </w:rPr>
  </w:style>
  <w:style w:type="character" w:customStyle="1" w:styleId="abs">
    <w:name w:val="abs"/>
    <w:basedOn w:val="Domylnaczcionkaakapitu"/>
    <w:rsid w:val="00724C39"/>
  </w:style>
  <w:style w:type="paragraph" w:customStyle="1" w:styleId="NormalnyWeb5">
    <w:name w:val="Normalny (Web)5"/>
    <w:basedOn w:val="Normalny"/>
    <w:rsid w:val="00DD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GWW">
    <w:name w:val="GWW"/>
    <w:basedOn w:val="Standardowy"/>
    <w:uiPriority w:val="99"/>
    <w:rsid w:val="006E1D1D"/>
    <w:pPr>
      <w:spacing w:after="0" w:line="240" w:lineRule="auto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Georgia" w:hAnsi="Georgia"/>
        <w:b/>
        <w:sz w:val="24"/>
      </w:rPr>
      <w:tblPr/>
      <w:tcPr>
        <w:shd w:val="clear" w:color="auto" w:fill="C00000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6E1D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E1D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CB39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CE2B99"/>
    <w:pPr>
      <w:tabs>
        <w:tab w:val="left" w:pos="1320"/>
        <w:tab w:val="right" w:leader="dot" w:pos="9062"/>
      </w:tabs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C5F"/>
    <w:rPr>
      <w:vertAlign w:val="superscript"/>
    </w:rPr>
  </w:style>
  <w:style w:type="paragraph" w:customStyle="1" w:styleId="divpoint">
    <w:name w:val="div.point"/>
    <w:uiPriority w:val="99"/>
    <w:rsid w:val="00FD32A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1032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A2ACB"/>
    <w:rPr>
      <w:vertAlign w:val="superscript"/>
    </w:rPr>
  </w:style>
  <w:style w:type="paragraph" w:customStyle="1" w:styleId="Akapitzlist2">
    <w:name w:val="Akapit z listą2"/>
    <w:basedOn w:val="Normalny"/>
    <w:qFormat/>
    <w:rsid w:val="008649C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4"/>
    <w:link w:val="Styl1Znak"/>
    <w:rsid w:val="0057524D"/>
    <w:pPr>
      <w:numPr>
        <w:ilvl w:val="1"/>
        <w:numId w:val="2"/>
      </w:numPr>
    </w:pPr>
    <w:rPr>
      <w:rFonts w:ascii="Georgia" w:hAnsi="Georgia"/>
      <w:b/>
      <w:i w:val="0"/>
      <w:smallCaps/>
      <w:color w:val="auto"/>
    </w:rPr>
  </w:style>
  <w:style w:type="character" w:styleId="Uwydatnienie">
    <w:name w:val="Emphasis"/>
    <w:basedOn w:val="Domylnaczcionkaakapitu"/>
    <w:uiPriority w:val="20"/>
    <w:qFormat/>
    <w:rsid w:val="0057524D"/>
    <w:rPr>
      <w:i/>
      <w:iCs/>
    </w:rPr>
  </w:style>
  <w:style w:type="character" w:customStyle="1" w:styleId="Styl1Znak">
    <w:name w:val="Styl1 Znak"/>
    <w:basedOn w:val="Nagwek4Znak"/>
    <w:link w:val="Styl1"/>
    <w:rsid w:val="0057524D"/>
    <w:rPr>
      <w:rFonts w:ascii="Georgia" w:eastAsiaTheme="majorEastAsia" w:hAnsi="Georgia" w:cstheme="majorBidi"/>
      <w:b/>
      <w:i w:val="0"/>
      <w:iCs/>
      <w:smallCap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semiHidden/>
    <w:rsid w:val="00BF1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1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9A4B9D"/>
  </w:style>
  <w:style w:type="character" w:styleId="HTML-cytat">
    <w:name w:val="HTML Cite"/>
    <w:basedOn w:val="Domylnaczcionkaakapitu"/>
    <w:uiPriority w:val="99"/>
    <w:semiHidden/>
    <w:unhideWhenUsed/>
    <w:rsid w:val="00BE161C"/>
    <w:rPr>
      <w:i/>
      <w:iCs/>
    </w:r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CF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2">
    <w:name w:val="Grid Table 4 Accent 2"/>
    <w:basedOn w:val="Standardowy"/>
    <w:uiPriority w:val="49"/>
    <w:rsid w:val="00CF7E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F59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-listitem">
    <w:name w:val="a-list__item"/>
    <w:basedOn w:val="Normalny"/>
    <w:rsid w:val="000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listitemtext">
    <w:name w:val="a-list__itemtext"/>
    <w:basedOn w:val="Domylnaczcionkaakapitu"/>
    <w:rsid w:val="0003663F"/>
  </w:style>
  <w:style w:type="paragraph" w:customStyle="1" w:styleId="xmsonormal">
    <w:name w:val="x_msonormal"/>
    <w:basedOn w:val="Normalny"/>
    <w:rsid w:val="001A78F2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ormaltextrun">
    <w:name w:val="normaltextrun"/>
    <w:basedOn w:val="Domylnaczcionkaakapitu"/>
    <w:rsid w:val="008E5C72"/>
  </w:style>
  <w:style w:type="character" w:customStyle="1" w:styleId="eop">
    <w:name w:val="eop"/>
    <w:basedOn w:val="Domylnaczcionkaakapitu"/>
    <w:rsid w:val="008E5C72"/>
  </w:style>
  <w:style w:type="character" w:styleId="Tekstzastpczy">
    <w:name w:val="Placeholder Text"/>
    <w:basedOn w:val="Domylnaczcionkaakapitu"/>
    <w:uiPriority w:val="99"/>
    <w:semiHidden/>
    <w:rsid w:val="00867CEB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A42F1"/>
    <w:rPr>
      <w:rFonts w:ascii="Georgia" w:eastAsia="Calibri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1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6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3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2A648F2AC734C84DC91EF19E70E7C" ma:contentTypeVersion="12" ma:contentTypeDescription="Utwórz nowy dokument." ma:contentTypeScope="" ma:versionID="ade714c5f97ce09464273e67308a91cc">
  <xsd:schema xmlns:xsd="http://www.w3.org/2001/XMLSchema" xmlns:xs="http://www.w3.org/2001/XMLSchema" xmlns:p="http://schemas.microsoft.com/office/2006/metadata/properties" xmlns:ns2="93bed98d-ec70-4ef9-8257-fe225ba5a687" xmlns:ns3="d1073d32-87eb-4a39-90c2-ffe0cab6cc13" targetNamespace="http://schemas.microsoft.com/office/2006/metadata/properties" ma:root="true" ma:fieldsID="3895052d79b927564a82afaee748a06f" ns2:_="" ns3:_="">
    <xsd:import namespace="93bed98d-ec70-4ef9-8257-fe225ba5a687"/>
    <xsd:import namespace="d1073d32-87eb-4a39-90c2-ffe0cab6c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d98d-ec70-4ef9-8257-fe225ba5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73d32-87eb-4a39-90c2-ffe0cab6c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73B3-754F-4D40-9EA5-9CD715768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11391-3C2E-4EBD-BD15-C4E4F5CB0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2A271-E48B-4C71-8095-7414DEF9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ed98d-ec70-4ef9-8257-fe225ba5a687"/>
    <ds:schemaRef ds:uri="d1073d32-87eb-4a39-90c2-ffe0cab6c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AE7E0-A4DF-4028-A20E-970D98A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Kowalska-Burczaniuk Aneta</cp:lastModifiedBy>
  <cp:revision>4</cp:revision>
  <cp:lastPrinted>2019-09-18T14:46:00Z</cp:lastPrinted>
  <dcterms:created xsi:type="dcterms:W3CDTF">2023-11-13T08:09:00Z</dcterms:created>
  <dcterms:modified xsi:type="dcterms:W3CDTF">2023-11-13T08:13:00Z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0x010100BD62A648F2AC734C84DC91EF19E70E7C</vt:lpwstr>
  </property>
  <property fmtid="{D5CDD505-2E9C-101B-9397-08002B2CF9AE}" pid="3" name="MSIP_Label_0b580558-2683-40bf-bd3c-5277d4f016e9_Enabled">
    <vt:lpwstr>true</vt:lpwstr>
  </property>
  <property fmtid="{D5CDD505-2E9C-101B-9397-08002B2CF9AE}" pid="4" name="MSIP_Label_0b580558-2683-40bf-bd3c-5277d4f016e9_SetDate">
    <vt:lpwstr>2021-04-27T14:02:06Z</vt:lpwstr>
  </property>
  <property fmtid="{D5CDD505-2E9C-101B-9397-08002B2CF9AE}" pid="5" name="MSIP_Label_0b580558-2683-40bf-bd3c-5277d4f016e9_Method">
    <vt:lpwstr>Standard</vt:lpwstr>
  </property>
  <property fmtid="{D5CDD505-2E9C-101B-9397-08002B2CF9AE}" pid="6" name="MSIP_Label_0b580558-2683-40bf-bd3c-5277d4f016e9_Name">
    <vt:lpwstr>Publish</vt:lpwstr>
  </property>
  <property fmtid="{D5CDD505-2E9C-101B-9397-08002B2CF9AE}" pid="7" name="MSIP_Label_0b580558-2683-40bf-bd3c-5277d4f016e9_SiteId">
    <vt:lpwstr>37cb3d29-6dcc-4858-b0cf-cfc44b3d6688</vt:lpwstr>
  </property>
  <property fmtid="{D5CDD505-2E9C-101B-9397-08002B2CF9AE}" pid="8" name="MSIP_Label_0b580558-2683-40bf-bd3c-5277d4f016e9_ActionId">
    <vt:lpwstr>19b959bc-2ac2-4ac1-981a-f88ffb22bb1f</vt:lpwstr>
  </property>
  <property fmtid="{D5CDD505-2E9C-101B-9397-08002B2CF9AE}" pid="9" name="MSIP_Label_0b580558-2683-40bf-bd3c-5277d4f016e9_ContentBits">
    <vt:lpwstr>0</vt:lpwstr>
  </property>
</Properties>
</file>